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napToGrid/>
        <w:spacing w:before="0" w:line="500" w:lineRule="exact"/>
        <w:ind w:left="0" w:leftChars="0" w:firstLine="0" w:firstLineChars="0"/>
        <w:jc w:val="center"/>
        <w:textAlignment w:val="auto"/>
        <w:rPr>
          <w:sz w:val="44"/>
          <w:szCs w:val="44"/>
        </w:rPr>
      </w:pPr>
      <w:r>
        <w:rPr>
          <w:rFonts w:hint="eastAsia"/>
          <w:sz w:val="44"/>
          <w:szCs w:val="44"/>
          <w:lang w:eastAsia="zh-CN"/>
        </w:rPr>
        <w:t>市级</w:t>
      </w:r>
      <w:r>
        <w:rPr>
          <w:sz w:val="44"/>
          <w:szCs w:val="44"/>
        </w:rPr>
        <w:t>招商引资</w:t>
      </w:r>
      <w:r>
        <w:rPr>
          <w:sz w:val="44"/>
          <w:szCs w:val="44"/>
          <w:lang w:val="en"/>
        </w:rPr>
        <w:t>奖励</w:t>
      </w:r>
      <w:r>
        <w:rPr>
          <w:sz w:val="44"/>
          <w:szCs w:val="44"/>
        </w:rPr>
        <w:t>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480" w:firstLineChars="200"/>
        <w:jc w:val="both"/>
        <w:textAlignment w:val="auto"/>
        <w:rPr>
          <w:rFonts w:hint="eastAsia" w:ascii="方正黑体_GBK" w:hAnsi="方正黑体_GBK" w:eastAsia="方正黑体_GBK" w:cs="方正黑体_GBK"/>
          <w:b w:val="0"/>
          <w:bCs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eastAsia" w:ascii="方正黑体_GBK" w:hAnsi="方正黑体_GBK" w:eastAsia="方正黑体_GBK" w:cs="方正黑体_GBK"/>
          <w:b w:val="0"/>
          <w:bCs w:val="0"/>
          <w:sz w:val="28"/>
          <w:szCs w:val="28"/>
          <w:lang w:val="en-US" w:eastAsia="zh-CN" w:bidi="ar-SA"/>
        </w:rPr>
        <w:t>（一）市级引荐人奖励</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r>
        <w:rPr>
          <w:rFonts w:hint="eastAsia" w:cs="宋体"/>
          <w:sz w:val="28"/>
          <w:szCs w:val="28"/>
          <w:lang w:val="en-US" w:eastAsia="zh-CN" w:bidi="ar-SA"/>
        </w:rPr>
        <w:t>.</w:t>
      </w:r>
      <w:r>
        <w:rPr>
          <w:rFonts w:hint="eastAsia" w:ascii="宋体" w:hAnsi="宋体" w:eastAsia="宋体" w:cs="宋体"/>
          <w:sz w:val="28"/>
          <w:szCs w:val="28"/>
          <w:lang w:val="en-US" w:eastAsia="zh-CN" w:bidi="ar-SA"/>
        </w:rPr>
        <w:t>固定资产投资额1亿元（不含土地）及以上的工业项目按投资额奖励引荐人，奖励资金最高不超过100万元。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r>
        <w:rPr>
          <w:rFonts w:hint="eastAsia" w:cs="宋体"/>
          <w:sz w:val="28"/>
          <w:szCs w:val="28"/>
          <w:lang w:val="en-US" w:eastAsia="zh-CN" w:bidi="ar-SA"/>
        </w:rPr>
        <w:t>.</w:t>
      </w:r>
      <w:r>
        <w:rPr>
          <w:rFonts w:hint="eastAsia" w:ascii="宋体" w:hAnsi="宋体" w:eastAsia="宋体" w:cs="宋体"/>
          <w:sz w:val="28"/>
          <w:szCs w:val="28"/>
          <w:lang w:val="en-US" w:eastAsia="zh-CN" w:bidi="ar-SA"/>
        </w:rPr>
        <w:t>固定资产投资额3000万元（不含土地）及以上的旅游综合开发、现代物流、休闲娱乐、学校、医院、养生养老及城市综合体等现代服务业项目按投资额奖励引荐人，奖励资金最高不超过100万元。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w:t>
      </w:r>
      <w:r>
        <w:rPr>
          <w:rFonts w:hint="eastAsia" w:cs="宋体"/>
          <w:sz w:val="28"/>
          <w:szCs w:val="28"/>
          <w:lang w:val="en-US" w:eastAsia="zh-CN" w:bidi="ar-SA"/>
        </w:rPr>
        <w:t>.</w:t>
      </w:r>
      <w:r>
        <w:rPr>
          <w:rFonts w:hint="eastAsia" w:ascii="宋体" w:hAnsi="宋体" w:eastAsia="宋体" w:cs="宋体"/>
          <w:sz w:val="28"/>
          <w:szCs w:val="28"/>
          <w:lang w:val="en-US" w:eastAsia="zh-CN" w:bidi="ar-SA"/>
        </w:rPr>
        <w:t>固定资产投资额1000万元及以上的农业项目按投资额奖励引荐人，奖励资金最高不超过50万元。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对引进境外投资、世界500强、中国500强、且外来固定资产投资额5亿元（不含土地）及以上项目的引荐人；引进国家重点支持的高新技术领域项目或战略性新兴产业项目，且固定资产投资额3亿元（不含土地）及以上的引荐人，在上述奖励的基础上，再奖励5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方正黑体_GBK" w:hAnsi="方正黑体_GBK" w:eastAsia="方正黑体_GBK" w:cs="方正黑体_GBK"/>
          <w:b w:val="0"/>
          <w:bCs w:val="0"/>
          <w:sz w:val="28"/>
          <w:szCs w:val="28"/>
          <w:lang w:val="en-US" w:eastAsia="zh-CN" w:bidi="ar-SA"/>
        </w:rPr>
      </w:pPr>
      <w:r>
        <w:rPr>
          <w:rFonts w:hint="eastAsia" w:ascii="方正黑体_GBK" w:hAnsi="方正黑体_GBK" w:eastAsia="方正黑体_GBK" w:cs="方正黑体_GBK"/>
          <w:b w:val="0"/>
          <w:bCs w:val="0"/>
          <w:sz w:val="28"/>
          <w:szCs w:val="28"/>
          <w:lang w:val="en-US" w:eastAsia="zh-CN" w:bidi="ar-SA"/>
        </w:rPr>
        <w:t>（二）市级招商引资项目设备奖励</w:t>
      </w:r>
    </w:p>
    <w:p>
      <w:pPr>
        <w:pStyle w:val="4"/>
        <w:keepNext w:val="0"/>
        <w:keepLines w:val="0"/>
        <w:pageBreakBefore w:val="0"/>
        <w:widowControl w:val="0"/>
        <w:kinsoku/>
        <w:wordWrap/>
        <w:overflowPunct/>
        <w:topLinePunct w:val="0"/>
        <w:bidi w:val="0"/>
        <w:adjustRightInd/>
        <w:snapToGrid/>
        <w:spacing w:before="0" w:line="480" w:lineRule="exact"/>
        <w:ind w:left="0" w:firstLine="560" w:firstLineChars="200"/>
        <w:textAlignment w:val="auto"/>
        <w:rPr>
          <w:rFonts w:ascii="宋体" w:hAnsi="宋体" w:eastAsia="宋体" w:cs="宋体"/>
          <w:sz w:val="28"/>
          <w:szCs w:val="28"/>
          <w:lang w:val="en-US" w:eastAsia="zh-CN" w:bidi="ar-SA"/>
        </w:rPr>
      </w:pPr>
      <w:r>
        <w:rPr>
          <w:rFonts w:hint="eastAsia" w:ascii="宋体" w:hAnsi="宋体" w:eastAsia="宋体" w:cs="宋体"/>
          <w:sz w:val="28"/>
          <w:szCs w:val="28"/>
          <w:lang w:val="en-US" w:eastAsia="zh-CN" w:bidi="ar-SA"/>
        </w:rPr>
        <w:t>对引进固定资产投资额5000万元(不含土地）及以上的</w:t>
      </w:r>
      <w:r>
        <w:rPr>
          <w:rFonts w:hint="eastAsia" w:cs="宋体"/>
          <w:sz w:val="28"/>
          <w:szCs w:val="28"/>
          <w:lang w:val="en-US" w:eastAsia="zh-CN" w:bidi="ar-SA"/>
        </w:rPr>
        <w:t>示范区</w:t>
      </w:r>
      <w:r>
        <w:rPr>
          <w:rFonts w:hint="eastAsia" w:ascii="宋体" w:hAnsi="宋体" w:eastAsia="宋体" w:cs="宋体"/>
          <w:sz w:val="28"/>
          <w:szCs w:val="28"/>
          <w:lang w:val="en-US" w:eastAsia="zh-CN" w:bidi="ar-SA"/>
        </w:rPr>
        <w:t>外重大招商引资项目，按照设备投入的5%给予扶持，</w:t>
      </w:r>
      <w:r>
        <w:rPr>
          <w:rFonts w:hint="eastAsia" w:cs="宋体"/>
          <w:sz w:val="28"/>
          <w:szCs w:val="28"/>
          <w:lang w:val="en-US" w:eastAsia="zh-CN" w:bidi="ar-SA"/>
        </w:rPr>
        <w:t>对引进固定资产投资额5000万元（不含土地）及以上的战略性新兴产业项目和高新技术产业项目，按照设备投入的7%给予企业扶持。扶持资金在</w:t>
      </w:r>
      <w:r>
        <w:rPr>
          <w:rFonts w:hint="eastAsia" w:ascii="宋体" w:hAnsi="宋体" w:eastAsia="宋体" w:cs="宋体"/>
          <w:sz w:val="28"/>
          <w:szCs w:val="28"/>
          <w:lang w:val="en-US" w:eastAsia="zh-CN" w:bidi="ar-SA"/>
        </w:rPr>
        <w:t>在</w:t>
      </w:r>
      <w:r>
        <w:rPr>
          <w:rFonts w:hint="default" w:ascii="宋体" w:hAnsi="宋体" w:eastAsia="宋体" w:cs="宋体"/>
          <w:sz w:val="28"/>
          <w:szCs w:val="28"/>
          <w:lang w:val="en-US" w:eastAsia="zh-CN" w:bidi="ar-SA"/>
        </w:rPr>
        <w:t>项目竣工投产缴纳税收后，由受益财政在企业缴纳的税收中兑现</w:t>
      </w:r>
      <w:r>
        <w:rPr>
          <w:rFonts w:hint="eastAsia" w:cs="宋体"/>
          <w:sz w:val="28"/>
          <w:szCs w:val="28"/>
          <w:lang w:val="en-US" w:eastAsia="zh-CN" w:bidi="ar-SA"/>
        </w:rPr>
        <w:t>（济源示范区内现有企业新增产能项目参照执行）</w:t>
      </w:r>
      <w:r>
        <w:rPr>
          <w:rFonts w:hint="default" w:ascii="宋体" w:hAnsi="宋体" w:eastAsia="宋体" w:cs="宋体"/>
          <w:sz w:val="28"/>
          <w:szCs w:val="28"/>
          <w:lang w:val="en-US" w:eastAsia="zh-CN" w:bidi="ar-SA"/>
        </w:rPr>
        <w:t>。</w:t>
      </w:r>
    </w:p>
    <w:p>
      <w:pPr>
        <w:pStyle w:val="4"/>
        <w:keepNext w:val="0"/>
        <w:keepLines w:val="0"/>
        <w:pageBreakBefore w:val="0"/>
        <w:widowControl w:val="0"/>
        <w:numPr>
          <w:ilvl w:val="0"/>
          <w:numId w:val="1"/>
        </w:numPr>
        <w:kinsoku/>
        <w:wordWrap/>
        <w:overflowPunct/>
        <w:topLinePunct w:val="0"/>
        <w:bidi w:val="0"/>
        <w:adjustRightInd/>
        <w:snapToGrid/>
        <w:spacing w:before="0" w:line="480" w:lineRule="exact"/>
        <w:ind w:left="0" w:firstLine="560" w:firstLineChars="200"/>
        <w:textAlignment w:val="auto"/>
        <w:rPr>
          <w:rFonts w:hint="eastAsia" w:ascii="方正黑体_GBK" w:hAnsi="方正黑体_GBK" w:eastAsia="方正黑体_GBK" w:cs="方正黑体_GBK"/>
          <w:b w:val="0"/>
          <w:bCs w:val="0"/>
          <w:sz w:val="28"/>
          <w:szCs w:val="28"/>
          <w:lang w:val="en-US" w:eastAsia="zh-CN" w:bidi="ar-SA"/>
        </w:rPr>
      </w:pPr>
      <w:r>
        <w:rPr>
          <w:rFonts w:hint="eastAsia" w:ascii="方正黑体_GBK" w:hAnsi="方正黑体_GBK" w:eastAsia="方正黑体_GBK" w:cs="方正黑体_GBK"/>
          <w:b w:val="0"/>
          <w:bCs w:val="0"/>
          <w:sz w:val="28"/>
          <w:szCs w:val="28"/>
          <w:lang w:val="en-US" w:eastAsia="zh-CN" w:bidi="ar-SA"/>
        </w:rPr>
        <w:t>一事一议</w:t>
      </w:r>
    </w:p>
    <w:p>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对能拉动示范区经济增长、促进经济结构调整和产业转型升级的先进制造业、高新技术产业、战略性新兴产业等招商引资项目，示范区管委会根据投资额度、项目进度等实际情况，在权限范围内，采取“一事一议”的方式，给予更灵活的优惠政策。凡已享受“一事一议”优惠的项目，不再重复享受相应优惠。</w:t>
      </w:r>
    </w:p>
    <w:p>
      <w:pPr>
        <w:pStyle w:val="2"/>
        <w:keepNext w:val="0"/>
        <w:keepLines w:val="0"/>
        <w:pageBreakBefore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省级招商引资专项奖励政策</w:t>
      </w:r>
    </w:p>
    <w:p>
      <w:pPr>
        <w:keepNext w:val="0"/>
        <w:keepLines w:val="0"/>
        <w:pageBreakBefore w:val="0"/>
        <w:kinsoku/>
        <w:wordWrap/>
        <w:overflowPunct/>
        <w:topLinePunct w:val="0"/>
        <w:bidi w:val="0"/>
        <w:adjustRightInd/>
        <w:snapToGrid/>
        <w:spacing w:before="0" w:line="50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（一）重大招商引资项目</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1.引进境外投资项目。引进项目实际到位并形成实收资本1000万美元（或等值人民币），奖励100万元人民币，每增加100万美元（或等值人民币），奖励资金增加10万元人民币。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2.引进省外投资项目。引进项目实际到位并形成实收资本1亿元人民币，奖励100万元人民币，每增加1000万元人民币，奖励资金增加10万元人民币。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3.对引进的新兴产业、未来产业投资我省项目，在既定奖励标准基础上增加10%。产业类别根据《战略性新兴产业分类（2018）》、河南“十四五”战略性新兴产业和未来产业发展规划（豫政〔2021〕50号）确定。</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4.重大招商引资项目奖励标准可以叠加，最高不超过1000万元。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5.重大招商引资项目单位可以按不高于奖励资金20%的比例用于奖励企业高管或团队。</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（二）对现存外商投资企业每增加实收资本投资100万美元奖励10万元人民币，奖励资金最高不超过1000万元人民币。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（三）对新设立的境外、省外企业地区总部和功能性机构，经审核认定后，给予不超过1000万元的奖励。</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四）成功引进重大招商引资项目的中介机构或企业。对成功引进重大招商引资项目的中介机构或企业，项目到位资本金每5000万元给予10万元的奖励，单个项目奖励最高不超过100万元。同一个项目只认定一个招商引资中介或企业，项目投资者不得以招商引资中介机构身份就自身投资的项目申请奖励。</w:t>
      </w: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r>
        <w:rPr>
          <w:rFonts w:hint="eastAsia" w:ascii="宋体" w:hAnsi="宋体" w:eastAsia="宋体" w:cs="宋体"/>
          <w:sz w:val="44"/>
          <w:szCs w:val="44"/>
          <w:lang w:val="en-US" w:eastAsia="zh-CN" w:bidi="ar-SA"/>
        </w:rPr>
        <w:t>省级外贸出口信用保险支持政策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left="0" w:firstLine="480" w:firstLineChars="200"/>
        <w:jc w:val="both"/>
        <w:textAlignment w:val="auto"/>
        <w:rPr>
          <w:rFonts w:hint="eastAsia" w:ascii="宋体" w:hAnsi="宋体" w:eastAsia="宋体" w:cs="宋体"/>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对在我省（境）内依法登记注册，具有独立法人和开展相关业务资格的企业，实施如下出口信用保险支持政策：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eastAsia" w:ascii="方正黑体_GBK" w:hAnsi="方正黑体_GBK" w:eastAsia="方正黑体_GBK" w:cs="方正黑体_GBK"/>
          <w:b w:val="0"/>
          <w:bCs w:val="0"/>
          <w:sz w:val="28"/>
          <w:szCs w:val="28"/>
          <w:lang w:val="en-US" w:eastAsia="zh-CN" w:bidi="ar-SA"/>
        </w:rPr>
        <w:t>（一）</w:t>
      </w:r>
      <w:r>
        <w:rPr>
          <w:rFonts w:hint="default" w:ascii="方正黑体_GBK" w:hAnsi="方正黑体_GBK" w:eastAsia="方正黑体_GBK" w:cs="方正黑体_GBK"/>
          <w:b w:val="0"/>
          <w:bCs w:val="0"/>
          <w:sz w:val="28"/>
          <w:szCs w:val="28"/>
          <w:lang w:val="en-US" w:eastAsia="zh-CN" w:bidi="ar-SA"/>
        </w:rPr>
        <w:t>小微外贸企业统保政策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1.建立上年出口金额在300万美元以下的小微外贸企业统保平台，统保保费财政专项资金全额支持（企业免缴），由省财政厅、省商务厅按照年度工作情况预拨至各保险机构。  </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2.小微外贸企业统保平台保险费率不得高于0.1%，按照企业上年出口金额作为投保金额，年度保费=投保金额×费率，保费低于200美元的按照200美元计算；赔偿比例为80%，单一企业单一买方/开证行最高赔偿限额为10万美元，单一企业最高赔偿限额不得低于年度保费的60倍或单一买方/开证行最高赔偿限额（按最高标准执行）。</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   （二）中型外贸企业统保政策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1.建立上年出口金额在300万美元到600万美元间的中型外贸企业统保平台，保费由企业缴纳20%，财政专项资金支持80%，由省财政厅、省商务厅按照年度工作情况预拨至各保险机构。</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2.中型外贸企业统保平台保险费率统一为0.15%，按照企业上年出口金额作为投保金额，年度保费=投保金额×费率；赔偿比例为企业损失额的80%，单一企业单一买方/开证行最高赔偿限额为15万美元，单一企业最高赔偿限额为年度保费的60倍。各保险机构在收到企业自缴的20%保费后先行生效保单并向企业开具发票。</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   （三）一般出口信用保险支持政策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对企业自行缴费投保一般贸易、对外承包工程带动出口、加工贸易、跨境电子商务、服务贸易出口信用保险的保费实行先缴后补，按照企业申报周期内实际缴纳保费不超过50%的比例予以支持，每家企业单个申报周期（每半年）累计最高支持金额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（四）“走出去”风险统保平台支持政策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建立政策性出口信用保险“走出去”风险统保平台，鼓励企业积极开展对外投资、对外承包工程及成套设备出口，对纳入统保平台的项目，财政专项资金予以保费支持。企业投保海外投资、海外工程承包和成套设备项目政治风险保险的，保费由企业缴纳20%，财政支持比例为80%，单个项目每年度保费支持金额不超过200万元；投保海外工程承包和成套设备项目政治、商业全风险保险的，保费由企业缴纳30%，财政支持比例为70%，单个项目保费支持金额不超过500万元。中国信保河南分公司在收到企业自缴的保费后先行生效保单并向企业开具发票。</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（五）海外资信服务支持政策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根据《商务部中国出口信用保险公司关于支持中小外贸企业提升国际化经营能力的通知》，为提升我省外经贸企业在风险防范和市场开拓方面的能力，由中国信保河南分公司在“河南省进出口企业服务平台”为企业提供涵盖信用保险服务、海外市场开拓、重点行业研究和信用风险咨询的专业海外资信服务，每年服务费用不超过100万元，经省商务厅和省财政厅审核后，从年度财政专项资金中予以支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p>
    <w:p>
      <w:pPr>
        <w:pStyle w:val="2"/>
        <w:keepNext w:val="0"/>
        <w:keepLines w:val="0"/>
        <w:pageBreakBefore w:val="0"/>
        <w:widowControl w:val="0"/>
        <w:kinsoku/>
        <w:wordWrap/>
        <w:overflowPunct/>
        <w:topLinePunct w:val="0"/>
        <w:bidi w:val="0"/>
        <w:adjustRightInd/>
        <w:snapToGrid/>
        <w:spacing w:before="0" w:line="520" w:lineRule="exact"/>
        <w:textAlignment w:val="auto"/>
        <w:rPr>
          <w:rFonts w:hint="default" w:ascii="宋体" w:hAnsi="宋体" w:eastAsia="宋体" w:cs="宋体"/>
          <w:sz w:val="24"/>
          <w:szCs w:val="24"/>
          <w:lang w:val="en-US" w:eastAsia="zh-CN" w:bidi="ar-SA"/>
        </w:rPr>
      </w:pPr>
    </w:p>
    <w:p>
      <w:pPr>
        <w:keepNext w:val="0"/>
        <w:keepLines w:val="0"/>
        <w:pageBreakBefore w:val="0"/>
        <w:kinsoku/>
        <w:wordWrap/>
        <w:overflowPunct/>
        <w:topLinePunct w:val="0"/>
        <w:bidi w:val="0"/>
        <w:adjustRightInd/>
        <w:snapToGrid/>
        <w:spacing w:before="0" w:line="500" w:lineRule="exact"/>
        <w:textAlignment w:val="auto"/>
        <w:rPr>
          <w:rFonts w:hint="default" w:ascii="宋体" w:hAnsi="宋体" w:eastAsia="宋体" w:cs="宋体"/>
          <w:sz w:val="24"/>
          <w:szCs w:val="24"/>
          <w:lang w:val="en-US" w:eastAsia="zh-CN" w:bidi="ar-SA"/>
        </w:rPr>
      </w:pPr>
    </w:p>
    <w:p>
      <w:pPr>
        <w:pStyle w:val="2"/>
        <w:keepNext w:val="0"/>
        <w:keepLines w:val="0"/>
        <w:pageBreakBefore w:val="0"/>
        <w:kinsoku/>
        <w:wordWrap/>
        <w:overflowPunct/>
        <w:topLinePunct w:val="0"/>
        <w:bidi w:val="0"/>
        <w:adjustRightInd/>
        <w:snapToGrid/>
        <w:spacing w:before="0" w:line="500" w:lineRule="exact"/>
        <w:textAlignment w:val="auto"/>
        <w:rPr>
          <w:rFonts w:hint="default" w:ascii="宋体" w:hAnsi="宋体" w:eastAsia="宋体" w:cs="宋体"/>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r>
        <w:rPr>
          <w:rFonts w:hint="eastAsia" w:ascii="宋体" w:hAnsi="宋体" w:eastAsia="宋体" w:cs="宋体"/>
          <w:sz w:val="44"/>
          <w:szCs w:val="44"/>
          <w:lang w:val="en-US" w:eastAsia="zh-CN" w:bidi="ar-SA"/>
        </w:rPr>
        <w:t>省级支持外贸中小企业开拓市场和企业维护</w:t>
      </w: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r>
        <w:rPr>
          <w:rFonts w:hint="eastAsia" w:ascii="宋体" w:hAnsi="宋体" w:eastAsia="宋体" w:cs="宋体"/>
          <w:sz w:val="44"/>
          <w:szCs w:val="44"/>
          <w:lang w:val="en-US" w:eastAsia="zh-CN" w:bidi="ar-SA"/>
        </w:rPr>
        <w:t>国际市场公平竞争环境项目资金</w:t>
      </w:r>
    </w:p>
    <w:p>
      <w:pPr>
        <w:pStyle w:val="2"/>
        <w:keepNext w:val="0"/>
        <w:keepLines w:val="0"/>
        <w:pageBreakBefore w:val="0"/>
        <w:kinsoku/>
        <w:wordWrap/>
        <w:overflowPunct/>
        <w:topLinePunct w:val="0"/>
        <w:bidi w:val="0"/>
        <w:adjustRightInd/>
        <w:snapToGrid/>
        <w:spacing w:before="0" w:line="5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(一)境外专利申请</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企业通过巴黎公约或PCT专利合作条约成员国提出的发明专利申请、实用新型专利申请或外观设计专利申请,通过并取得授权证书后,对申请过程中实际发生的专利申请费用给予不超过70%的支持。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(二)境外商标注册</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企业在境外进行产品商标注册,只对商标注册费用给予不超过70%的支持,不支持咨询服务、年费及其他相关费用。</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(三)资质认证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2" w:firstLineChars="200"/>
        <w:jc w:val="both"/>
        <w:textAlignment w:val="auto"/>
        <w:rPr>
          <w:rFonts w:hint="default" w:ascii="宋体" w:hAnsi="宋体" w:eastAsia="宋体" w:cs="宋体"/>
          <w:b/>
          <w:bCs/>
          <w:sz w:val="28"/>
          <w:szCs w:val="28"/>
          <w:lang w:val="en-US" w:eastAsia="zh-CN" w:bidi="ar-SA"/>
        </w:rPr>
      </w:pPr>
      <w:r>
        <w:rPr>
          <w:rFonts w:hint="default" w:ascii="宋体" w:hAnsi="宋体" w:eastAsia="宋体" w:cs="宋体"/>
          <w:b/>
          <w:bCs/>
          <w:sz w:val="28"/>
          <w:szCs w:val="28"/>
          <w:lang w:val="en-US" w:eastAsia="zh-CN" w:bidi="ar-SA"/>
        </w:rPr>
        <w:t>1.企业管理体系认证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企业委托在中国境内注册、并经中国国家认证认可监督管理委员会批准的认证机构(可通过htp://www.cnca.gov.cn/进行查询)进行认证(包括ISO9000系列质量管理体系认证和ISO14000系列环境管理体系认证、职业安全管理体系认证、卫生管理体系认证以及其他管理体系认证),对企业完成初次认证的认证费按照不超过70%的比例予以支持。咨询培训、年费、换证等支出不予支持</w:t>
      </w:r>
      <w:r>
        <w:rPr>
          <w:rFonts w:hint="eastAsia" w:ascii="宋体" w:hAnsi="宋体" w:eastAsia="宋体" w:cs="宋体"/>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2" w:firstLineChars="200"/>
        <w:jc w:val="both"/>
        <w:textAlignment w:val="auto"/>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2.</w:t>
      </w:r>
      <w:r>
        <w:rPr>
          <w:rFonts w:hint="default" w:ascii="宋体" w:hAnsi="宋体" w:eastAsia="宋体" w:cs="宋体"/>
          <w:b/>
          <w:bCs/>
          <w:sz w:val="28"/>
          <w:szCs w:val="28"/>
          <w:lang w:val="en-US" w:eastAsia="zh-CN" w:bidi="ar-SA"/>
        </w:rPr>
        <w:t>产品认证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sz w:val="28"/>
          <w:szCs w:val="28"/>
          <w:lang w:val="en-US" w:eastAsia="zh-CN" w:bidi="ar-SA"/>
        </w:rPr>
        <w:t>委托开展产品认证的机构应经我国或要求认证的企业所在国主管部门批准,具有产品认证的合法资格。产品认证包括软件生产能力成熟度模型(CMM)认证和其他产品认证(不包含CCC认证)。在完成产品认证并取得证书后,对产品认证过程中发生的认证费用和产品检验检测费用给予不超过70%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 w:eastAsia="zh-CN" w:bidi="ar-SA"/>
        </w:rPr>
        <w:t>(</w:t>
      </w:r>
      <w:r>
        <w:rPr>
          <w:rFonts w:hint="eastAsia" w:ascii="方正黑体_GBK" w:hAnsi="方正黑体_GBK" w:eastAsia="方正黑体_GBK" w:cs="方正黑体_GBK"/>
          <w:b w:val="0"/>
          <w:bCs w:val="0"/>
          <w:sz w:val="28"/>
          <w:szCs w:val="28"/>
          <w:lang w:val="en" w:eastAsia="zh-CN" w:bidi="ar-SA"/>
        </w:rPr>
        <w:t>四</w:t>
      </w:r>
      <w:r>
        <w:rPr>
          <w:rFonts w:hint="default" w:ascii="方正黑体_GBK" w:hAnsi="方正黑体_GBK" w:eastAsia="方正黑体_GBK" w:cs="方正黑体_GBK"/>
          <w:b w:val="0"/>
          <w:bCs w:val="0"/>
          <w:sz w:val="28"/>
          <w:szCs w:val="28"/>
          <w:lang w:val="en" w:eastAsia="zh-CN" w:bidi="ar-SA"/>
        </w:rPr>
        <w:t>)</w:t>
      </w:r>
      <w:r>
        <w:rPr>
          <w:rFonts w:hint="default" w:ascii="方正黑体_GBK" w:hAnsi="方正黑体_GBK" w:eastAsia="方正黑体_GBK" w:cs="方正黑体_GBK"/>
          <w:b w:val="0"/>
          <w:bCs w:val="0"/>
          <w:sz w:val="28"/>
          <w:szCs w:val="28"/>
          <w:lang w:val="en-US" w:eastAsia="zh-CN" w:bidi="ar-SA"/>
        </w:rPr>
        <w:t>参加国际性展会</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2"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b/>
          <w:bCs/>
          <w:sz w:val="28"/>
          <w:szCs w:val="28"/>
          <w:lang w:val="en-US" w:eastAsia="zh-CN" w:bidi="ar-SA"/>
        </w:rPr>
        <w:t>1.参加线下国际性展会。</w:t>
      </w:r>
      <w:r>
        <w:rPr>
          <w:rFonts w:hint="default" w:ascii="宋体" w:hAnsi="宋体" w:eastAsia="宋体" w:cs="宋体"/>
          <w:sz w:val="28"/>
          <w:szCs w:val="28"/>
          <w:lang w:val="en-US" w:eastAsia="zh-CN" w:bidi="ar-SA"/>
        </w:rPr>
        <w:t>企业参加线下国际性展会均享受开拓国际市场项目资金支持。根据省商务厅、省财政厅《关于印发河南省国际性展会项目组织管理办法(试行)的通知》(豫商外贸〔2020〕4号)和《河南省商务厅关于印发2022年度国际性展会和转内销展会推荐名录的通知》(豫商贸函〔2022〕4号),对企业实施分类补助,采用按比例及最高限额相结合的方式,对净展位费(不含装修费用)、参展人员机票费(经济舱)给予不同比例的支持。企业参加未列入国际性展会推荐名录的展会,按照第三类展会补贴标准给予支持。相关国际性展会正常举办,但企业受疫情影响无法赴境外参展的,已发生的相关费用按照该展会分类的补助标准给予支持。相关国际性展会延期或取消,企业已缴纳费用顺延到以后展会举办时的,在项目发生后的申报期内申报,享受当年展会分类补助标准。</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2"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b/>
          <w:bCs/>
          <w:sz w:val="28"/>
          <w:szCs w:val="28"/>
          <w:lang w:val="en-US" w:eastAsia="zh-CN" w:bidi="ar-SA"/>
        </w:rPr>
        <w:t>2.参加线上国际性展会。</w:t>
      </w:r>
      <w:r>
        <w:rPr>
          <w:rFonts w:hint="default" w:ascii="宋体" w:hAnsi="宋体" w:eastAsia="宋体" w:cs="宋体"/>
          <w:sz w:val="28"/>
          <w:szCs w:val="28"/>
          <w:lang w:val="en-US" w:eastAsia="zh-CN" w:bidi="ar-SA"/>
        </w:rPr>
        <w:t>支持企业自主选择参加专业机构组织的适合本企业产品和出口市场的网上展会,对企业参加单个展会的费用给予不高于50%的补贴,最高不超过8000元,每个企业每年最多可申请5个线上展会项目。</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2" w:firstLineChars="200"/>
        <w:jc w:val="both"/>
        <w:textAlignment w:val="auto"/>
        <w:rPr>
          <w:rFonts w:hint="default" w:ascii="宋体" w:hAnsi="宋体" w:eastAsia="宋体" w:cs="宋体"/>
          <w:sz w:val="28"/>
          <w:szCs w:val="28"/>
          <w:lang w:val="en-US" w:eastAsia="zh-CN" w:bidi="ar-SA"/>
        </w:rPr>
      </w:pPr>
      <w:r>
        <w:rPr>
          <w:rFonts w:hint="default" w:ascii="宋体" w:hAnsi="宋体" w:eastAsia="宋体" w:cs="宋体"/>
          <w:b/>
          <w:bCs/>
          <w:sz w:val="28"/>
          <w:szCs w:val="28"/>
          <w:lang w:val="en-US" w:eastAsia="zh-CN" w:bidi="ar-SA"/>
        </w:rPr>
        <w:t>3.参加转内销展会。</w:t>
      </w:r>
      <w:r>
        <w:rPr>
          <w:rFonts w:hint="default" w:ascii="宋体" w:hAnsi="宋体" w:eastAsia="宋体" w:cs="宋体"/>
          <w:sz w:val="28"/>
          <w:szCs w:val="28"/>
          <w:lang w:val="en-US" w:eastAsia="zh-CN" w:bidi="ar-SA"/>
        </w:rPr>
        <w:t>支持外贸企业参加《河南省商务厅关于印发2022年度国际性展会和转内销展会推荐名录的通知》(豫商贸函〔2022〕4号)中推荐的转内销展会,每家企业参加每个展会补贴10000元。</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default" w:ascii="方正黑体_GBK" w:hAnsi="方正黑体_GBK" w:eastAsia="方正黑体_GBK" w:cs="方正黑体_GBK"/>
          <w:b w:val="0"/>
          <w:bCs w:val="0"/>
          <w:sz w:val="28"/>
          <w:szCs w:val="28"/>
          <w:lang w:val="en-US" w:eastAsia="zh-CN" w:bidi="ar-SA"/>
        </w:rPr>
      </w:pPr>
      <w:r>
        <w:rPr>
          <w:rFonts w:hint="default" w:ascii="方正黑体_GBK" w:hAnsi="方正黑体_GBK" w:eastAsia="方正黑体_GBK" w:cs="方正黑体_GBK"/>
          <w:b w:val="0"/>
          <w:bCs w:val="0"/>
          <w:sz w:val="28"/>
          <w:szCs w:val="28"/>
          <w:lang w:val="en-US" w:eastAsia="zh-CN" w:bidi="ar-SA"/>
        </w:rPr>
        <w:t>(五)企业维护国际市场公平竞争环境项目</w:t>
      </w:r>
    </w:p>
    <w:p>
      <w:pPr>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left="0" w:firstLine="560" w:firstLineChars="200"/>
        <w:jc w:val="both"/>
        <w:textAlignment w:val="auto"/>
        <w:rPr>
          <w:rFonts w:hint="eastAsia" w:ascii="宋体" w:hAnsi="宋体" w:eastAsia="宋体" w:cs="宋体"/>
          <w:sz w:val="32"/>
          <w:szCs w:val="32"/>
          <w:lang w:val="en-US" w:eastAsia="zh-CN" w:bidi="ar-SA"/>
        </w:rPr>
      </w:pPr>
      <w:r>
        <w:rPr>
          <w:rFonts w:hint="default" w:ascii="宋体" w:hAnsi="宋体" w:eastAsia="宋体" w:cs="宋体"/>
          <w:sz w:val="28"/>
          <w:szCs w:val="28"/>
          <w:lang w:val="en-US" w:eastAsia="zh-CN" w:bidi="ar-SA"/>
        </w:rPr>
        <w:t>我省企业为维护国际市场公平竞争环境,积极参与贸易救济案件应对,并于2022年7月1日至2022年12月31日期间已形成初裁或后续裁定结果的应诉项目。对企业由此发生的律师费、诉讼代理费、咨询费等给予支持。支持比例最高不超过企业该项实际支出总额的80%,单个企业支持金额最高不超过500万。</w:t>
      </w: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jc w:val="center"/>
        <w:textAlignment w:val="auto"/>
        <w:rPr>
          <w:rFonts w:hint="eastAsia" w:ascii="宋体" w:hAnsi="宋体" w:eastAsia="宋体" w:cs="宋体"/>
          <w:sz w:val="44"/>
          <w:szCs w:val="44"/>
          <w:lang w:val="en-US" w:eastAsia="zh-CN" w:bidi="ar-SA"/>
        </w:rPr>
      </w:pPr>
      <w:r>
        <w:rPr>
          <w:rFonts w:hint="eastAsia" w:ascii="宋体" w:hAnsi="宋体" w:eastAsia="宋体" w:cs="宋体"/>
          <w:sz w:val="44"/>
          <w:szCs w:val="44"/>
          <w:lang w:val="en-US" w:eastAsia="zh-CN" w:bidi="ar-SA"/>
        </w:rPr>
        <w:t>国家进口贴息资金奖励政策</w:t>
      </w:r>
    </w:p>
    <w:p>
      <w:pPr>
        <w:pStyle w:val="2"/>
        <w:keepNext w:val="0"/>
        <w:keepLines w:val="0"/>
        <w:pageBreakBefore w:val="0"/>
        <w:kinsoku/>
        <w:wordWrap/>
        <w:overflowPunct/>
        <w:topLinePunct w:val="0"/>
        <w:bidi w:val="0"/>
        <w:adjustRightInd/>
        <w:snapToGrid/>
        <w:spacing w:before="0" w:line="500" w:lineRule="exact"/>
        <w:textAlignment w:val="auto"/>
        <w:rPr>
          <w:rFonts w:hint="eastAsia" w:ascii="宋体" w:hAnsi="宋体" w:eastAsia="宋体" w:cs="宋体"/>
          <w:sz w:val="24"/>
          <w:szCs w:val="24"/>
          <w:lang w:val="en-US" w:eastAsia="zh-CN" w:bidi="ar-SA"/>
        </w:rPr>
      </w:pP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贴息本金。以符合规定条件的产品或技术的进口金额乘以人民币汇率计算。申报项目汇率按中国人民银行公布的2023年6月30日人民币汇率中间价为计算依据。</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（2）贴息率。按照不超过中国人民银行公布的2023年6月30日前最近一期人民币一年期贷款市场报价利率（LPR）计算。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（3）贴息金额。按照贴息本金乘以贴息率计算，每户企业不超过6000万元人民币。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sz w:val="28"/>
          <w:szCs w:val="28"/>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sz w:val="24"/>
          <w:szCs w:val="24"/>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sz w:val="24"/>
          <w:szCs w:val="24"/>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jc w:val="center"/>
        <w:textAlignment w:val="auto"/>
        <w:rPr>
          <w:rFonts w:hint="eastAsia" w:ascii="宋体" w:hAnsi="宋体" w:eastAsia="宋体" w:cs="宋体"/>
          <w:kern w:val="0"/>
          <w:sz w:val="44"/>
          <w:szCs w:val="44"/>
          <w:lang w:val="en-US" w:eastAsia="zh-CN" w:bidi="ar-SA"/>
        </w:rPr>
      </w:pPr>
      <w:r>
        <w:rPr>
          <w:rFonts w:hint="eastAsia" w:ascii="宋体" w:hAnsi="宋体" w:eastAsia="宋体" w:cs="宋体"/>
          <w:kern w:val="0"/>
          <w:sz w:val="44"/>
          <w:szCs w:val="44"/>
          <w:lang w:val="en-US" w:eastAsia="zh-CN" w:bidi="ar-SA"/>
        </w:rPr>
        <w:t>省级“三外”发展项目补助资金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jc w:val="center"/>
        <w:textAlignment w:val="auto"/>
        <w:rPr>
          <w:rFonts w:hint="eastAsia" w:ascii="宋体" w:hAnsi="宋体" w:eastAsia="宋体" w:cs="宋体"/>
          <w:kern w:val="0"/>
          <w:sz w:val="32"/>
          <w:szCs w:val="32"/>
          <w:lang w:val="en-US" w:eastAsia="zh-CN" w:bidi="ar-SA"/>
        </w:rPr>
      </w:pP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省级三外发展项目补助资金到位情况，示范区对外资、外贸、外经企业设立相应的扶持奖励标准。奖励标准由示范区商务部门会同财政金融局研究制定，经示范区管委会常务会研究同意后执行。每年支持奖励方向和标准不一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2022年支持方向和标准为：</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（一）稳外贸扶持</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总量奖、增量奖、新设企业奖、国际运费补贴、俄乌冲突损失补贴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（二）稳外资扶持</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实际到位资本金奖、省级白名单企业</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（三）稳外经扶持</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right="0" w:rightChars="0" w:firstLine="560" w:firstLineChars="200"/>
        <w:jc w:val="both"/>
        <w:textAlignment w:val="auto"/>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增资奖</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5" w:lineRule="atLeast"/>
        <w:ind w:right="0" w:rightChars="0"/>
        <w:jc w:val="both"/>
        <w:textAlignment w:val="auto"/>
        <w:rPr>
          <w:rFonts w:hint="default" w:ascii="宋体" w:hAnsi="宋体" w:eastAsia="宋体" w:cs="宋体"/>
          <w:sz w:val="28"/>
          <w:szCs w:val="28"/>
          <w:lang w:val="en-US" w:eastAsia="zh-CN" w:bidi="ar-SA"/>
        </w:rPr>
      </w:pPr>
      <w:bookmarkStart w:id="0" w:name="_GoBack"/>
      <w:bookmarkEnd w:id="0"/>
    </w:p>
    <w:sectPr>
      <w:footerReference r:id="rId5" w:type="default"/>
      <w:footerReference r:id="rId6" w:type="even"/>
      <w:pgSz w:w="11850" w:h="16840"/>
      <w:pgMar w:top="1871" w:right="1531" w:bottom="1701" w:left="1531" w:header="0" w:footer="78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01"/>
    <w:family w:val="roman"/>
    <w:pitch w:val="default"/>
    <w:sig w:usb0="00000000" w:usb1="00000000" w:usb2="00000000" w:usb3="00000000" w:csb0="00000000"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UI">
    <w:altName w:val="URW Bookman"/>
    <w:panose1 w:val="00000000000000000000"/>
    <w:charset w:val="01"/>
    <w:family w:val="swiss"/>
    <w:pitch w:val="default"/>
    <w:sig w:usb0="00000000" w:usb1="00000000" w:usb2="00000000" w:usb3="00000000" w:csb0="00000000" w:csb1="00000000"/>
  </w:font>
  <w:font w:name="???????">
    <w:altName w:val="URW Bookman"/>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大黑简">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C059">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SJ">
    <w:altName w:val="URW Bookman"/>
    <w:panose1 w:val="00000000000000000000"/>
    <w:charset w:val="00"/>
    <w:family w:val="auto"/>
    <w:pitch w:val="default"/>
    <w:sig w:usb0="00000000" w:usb1="00000000" w:usb2="00000000" w:usb3="00000000" w:csb0="00000000" w:csb1="00000000"/>
  </w:font>
  <w:font w:name="FzBookMaker2DlFont2">
    <w:altName w:val="URW Bookman"/>
    <w:panose1 w:val="00000000000000000000"/>
    <w:charset w:val="00"/>
    <w:family w:val="auto"/>
    <w:pitch w:val="default"/>
    <w:sig w:usb0="00000000" w:usb1="00000000" w:usb2="00000000" w:usb3="00000000" w:csb0="00000000" w:csb1="00000000"/>
  </w:font>
  <w:font w:name="FzBookMaker1DlFont10">
    <w:altName w:val="URW Bookman"/>
    <w:panose1 w:val="00000000000000000000"/>
    <w:charset w:val="00"/>
    <w:family w:val="auto"/>
    <w:pitch w:val="default"/>
    <w:sig w:usb0="00000000" w:usb1="00000000" w:usb2="00000000" w:usb3="00000000" w:csb0="0000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487173120" behindDoc="0" locked="0" layoutInCell="1" allowOverlap="1">
              <wp:simplePos x="0" y="0"/>
              <wp:positionH relativeFrom="margin">
                <wp:posOffset>2492375</wp:posOffset>
              </wp:positionH>
              <wp:positionV relativeFrom="paragraph">
                <wp:posOffset>-201295</wp:posOffset>
              </wp:positionV>
              <wp:extent cx="595630" cy="359410"/>
              <wp:effectExtent l="0" t="0" r="0" b="0"/>
              <wp:wrapNone/>
              <wp:docPr id="1" name="文本框 1029"/>
              <wp:cNvGraphicFramePr/>
              <a:graphic xmlns:a="http://schemas.openxmlformats.org/drawingml/2006/main">
                <a:graphicData uri="http://schemas.microsoft.com/office/word/2010/wordprocessingShape">
                  <wps:wsp>
                    <wps:cNvSpPr txBox="true"/>
                    <wps:spPr>
                      <a:xfrm>
                        <a:off x="0" y="0"/>
                        <a:ext cx="595630" cy="359410"/>
                      </a:xfrm>
                      <a:prstGeom prst="rect">
                        <a:avLst/>
                      </a:prstGeom>
                      <a:noFill/>
                      <a:ln>
                        <a:noFill/>
                      </a:ln>
                    </wps:spPr>
                    <wps:txbx>
                      <w:txbxContent>
                        <w:p>
                          <w:pPr>
                            <w:spacing w:before="0" w:line="249" w:lineRule="exact"/>
                            <w:ind w:left="20" w:right="0" w:firstLine="0"/>
                            <w:jc w:val="left"/>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wps:txbx>
                    <wps:bodyPr lIns="0" tIns="0" rIns="0" bIns="0" upright="true"/>
                  </wps:wsp>
                </a:graphicData>
              </a:graphic>
            </wp:anchor>
          </w:drawing>
        </mc:Choice>
        <mc:Fallback>
          <w:pict>
            <v:shape id="文本框 1029" o:spid="_x0000_s1026" o:spt="202" type="#_x0000_t202" style="position:absolute;left:0pt;margin-left:196.25pt;margin-top:-15.85pt;height:28.3pt;width:46.9pt;mso-position-horizontal-relative:margin;z-index:487173120;mso-width-relative:page;mso-height-relative:page;" filled="f" stroked="f" coordsize="21600,21600" o:gfxdata="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I7L4ODbAAAACgEAAA8AAAAAAAAAAQAgAAAAOAAAAGRycy9kb3ducmV2LnhtbFBL&#10;AQIUABQAAAAIAIdO4kDEnBaRpAEAACwDAAAOAAAAAAAAAAEAIAAAAEABAABkcnMvZTJvRG9jLnht&#10;bFBLBQYAAAAABgAGAFkBAABWBQAAAAA=&#10;">
              <v:fill on="f" focussize="0,0"/>
              <v:stroke on="f"/>
              <v:imagedata o:title=""/>
              <o:lock v:ext="edit" aspectratio="f"/>
              <v:textbox inset="0mm,0mm,0mm,0mm">
                <w:txbxContent>
                  <w:p>
                    <w:pPr>
                      <w:spacing w:before="0" w:line="249" w:lineRule="exact"/>
                      <w:ind w:left="20" w:right="0" w:firstLine="0"/>
                      <w:jc w:val="left"/>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487173120" behindDoc="0" locked="0" layoutInCell="1" allowOverlap="1">
              <wp:simplePos x="0" y="0"/>
              <wp:positionH relativeFrom="margin">
                <wp:align>center</wp:align>
              </wp:positionH>
              <wp:positionV relativeFrom="paragraph">
                <wp:posOffset>0</wp:posOffset>
              </wp:positionV>
              <wp:extent cx="595630" cy="158115"/>
              <wp:effectExtent l="0" t="0" r="0" b="0"/>
              <wp:wrapNone/>
              <wp:docPr id="2" name="文本框 1030"/>
              <wp:cNvGraphicFramePr/>
              <a:graphic xmlns:a="http://schemas.openxmlformats.org/drawingml/2006/main">
                <a:graphicData uri="http://schemas.microsoft.com/office/word/2010/wordprocessingShape">
                  <wps:wsp>
                    <wps:cNvSpPr txBox="true"/>
                    <wps:spPr>
                      <a:xfrm>
                        <a:off x="0" y="0"/>
                        <a:ext cx="595630" cy="158115"/>
                      </a:xfrm>
                      <a:prstGeom prst="rect">
                        <a:avLst/>
                      </a:prstGeom>
                      <a:noFill/>
                      <a:ln>
                        <a:noFill/>
                      </a:ln>
                    </wps:spPr>
                    <wps:txbx>
                      <w:txbxContent>
                        <w:p>
                          <w:pPr>
                            <w:spacing w:before="0" w:line="249" w:lineRule="exact"/>
                            <w:ind w:left="20" w:right="0" w:firstLine="630" w:firstLineChars="300"/>
                            <w:jc w:val="left"/>
                            <w:rPr>
                              <w:sz w:val="21"/>
                            </w:rPr>
                          </w:pPr>
                          <w:r>
                            <w:rPr>
                              <w:sz w:val="21"/>
                            </w:rPr>
                            <w:t xml:space="preserve">— </w:t>
                          </w:r>
                          <w:r>
                            <w:rPr>
                              <w:sz w:val="21"/>
                            </w:rPr>
                            <w:fldChar w:fldCharType="begin"/>
                          </w:r>
                          <w:r>
                            <w:rPr>
                              <w:sz w:val="21"/>
                            </w:rPr>
                            <w:instrText xml:space="preserve"> PAGE  \* MERGEFORMAT </w:instrText>
                          </w:r>
                          <w:r>
                            <w:rPr>
                              <w:sz w:val="21"/>
                            </w:rPr>
                            <w:fldChar w:fldCharType="separate"/>
                          </w:r>
                          <w:r>
                            <w:rPr>
                              <w:sz w:val="21"/>
                            </w:rPr>
                            <w:t>2</w:t>
                          </w:r>
                          <w:r>
                            <w:rPr>
                              <w:sz w:val="21"/>
                            </w:rPr>
                            <w:fldChar w:fldCharType="end"/>
                          </w:r>
                          <w:r>
                            <w:rPr>
                              <w:sz w:val="21"/>
                            </w:rPr>
                            <w:t xml:space="preserve"> —</w:t>
                          </w:r>
                        </w:p>
                      </w:txbxContent>
                    </wps:txbx>
                    <wps:bodyPr lIns="0" tIns="0" rIns="0" bIns="0" upright="true"/>
                  </wps:wsp>
                </a:graphicData>
              </a:graphic>
            </wp:anchor>
          </w:drawing>
        </mc:Choice>
        <mc:Fallback>
          <w:pict>
            <v:shape id="文本框 1030" o:spid="_x0000_s1026" o:spt="202" type="#_x0000_t202" style="position:absolute;left:0pt;margin-top:0pt;height:12.45pt;width:46.9pt;mso-position-horizontal:center;mso-position-horizontal-relative:margin;z-index:487173120;mso-width-relative:page;mso-height-relative:page;" filled="f" stroked="f" coordsize="21600,21600" o:gfxdata="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CV/0/UAAAAAwEAAA8AAAAAAAAAAQAgAAAAOAAAAGRycy9kb3ducmV2LnhtbFBLAQIUABQAAAAI&#10;AIdO4kChzBmTogEAACwDAAAOAAAAAAAAAAEAIAAAADkBAABkcnMvZTJvRG9jLnhtbFBLBQYAAAAA&#10;BgAGAFkBAABNBQAAAAA=&#10;">
              <v:fill on="f" focussize="0,0"/>
              <v:stroke on="f"/>
              <v:imagedata o:title=""/>
              <o:lock v:ext="edit" aspectratio="f"/>
              <v:textbox inset="0mm,0mm,0mm,0mm">
                <w:txbxContent>
                  <w:p>
                    <w:pPr>
                      <w:spacing w:before="0" w:line="249" w:lineRule="exact"/>
                      <w:ind w:left="20" w:right="0" w:firstLine="630" w:firstLineChars="300"/>
                      <w:jc w:val="left"/>
                      <w:rPr>
                        <w:sz w:val="21"/>
                      </w:rPr>
                    </w:pPr>
                    <w:r>
                      <w:rPr>
                        <w:sz w:val="21"/>
                      </w:rPr>
                      <w:t xml:space="preserve">— </w:t>
                    </w:r>
                    <w:r>
                      <w:rPr>
                        <w:sz w:val="21"/>
                      </w:rPr>
                      <w:fldChar w:fldCharType="begin"/>
                    </w:r>
                    <w:r>
                      <w:rPr>
                        <w:sz w:val="21"/>
                      </w:rPr>
                      <w:instrText xml:space="preserve"> PAGE  \* MERGEFORMAT </w:instrText>
                    </w:r>
                    <w:r>
                      <w:rPr>
                        <w:sz w:val="21"/>
                      </w:rPr>
                      <w:fldChar w:fldCharType="separate"/>
                    </w:r>
                    <w:r>
                      <w:rPr>
                        <w:sz w:val="21"/>
                      </w:rPr>
                      <w:t>2</w:t>
                    </w:r>
                    <w:r>
                      <w:rPr>
                        <w:sz w:val="21"/>
                      </w:rPr>
                      <w:fldChar w:fldCharType="end"/>
                    </w:r>
                    <w:r>
                      <w:rPr>
                        <w:sz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893C"/>
    <w:multiLevelType w:val="singleLevel"/>
    <w:tmpl w:val="9DFB893C"/>
    <w:lvl w:ilvl="0" w:tentative="0">
      <w:start w:val="3"/>
      <w:numFmt w:val="chineseCounting"/>
      <w:suff w:val="nothing"/>
      <w:lvlText w:val="（%1）"/>
      <w:lvlJc w:val="left"/>
      <w:rPr>
        <w:rFonts w:hint="eastAsia"/>
      </w:rPr>
    </w:lvl>
  </w:abstractNum>
  <w:abstractNum w:abstractNumId="1">
    <w:nsid w:val="FFFA0D51"/>
    <w:multiLevelType w:val="singleLevel"/>
    <w:tmpl w:val="FFFA0D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8DF4EFC"/>
    <w:rsid w:val="1FB9097A"/>
    <w:rsid w:val="2BFB195C"/>
    <w:rsid w:val="2FBB6EA6"/>
    <w:rsid w:val="2FBD8BBB"/>
    <w:rsid w:val="30C76B86"/>
    <w:rsid w:val="31AB88D9"/>
    <w:rsid w:val="3D13184C"/>
    <w:rsid w:val="3DEF0532"/>
    <w:rsid w:val="3EEF2755"/>
    <w:rsid w:val="3F6F4A66"/>
    <w:rsid w:val="3FFD5A03"/>
    <w:rsid w:val="3FFFB7E7"/>
    <w:rsid w:val="43AF2978"/>
    <w:rsid w:val="4AF784E1"/>
    <w:rsid w:val="51FF5550"/>
    <w:rsid w:val="55F7F677"/>
    <w:rsid w:val="58B9090F"/>
    <w:rsid w:val="5ADF8664"/>
    <w:rsid w:val="5BF7D512"/>
    <w:rsid w:val="5CDD3453"/>
    <w:rsid w:val="5EDFB11B"/>
    <w:rsid w:val="5FFFB2FB"/>
    <w:rsid w:val="606EEF8C"/>
    <w:rsid w:val="6774DC93"/>
    <w:rsid w:val="6AEA49F5"/>
    <w:rsid w:val="6D5FD5D2"/>
    <w:rsid w:val="6DDF4059"/>
    <w:rsid w:val="6E7F3B19"/>
    <w:rsid w:val="6E9783C2"/>
    <w:rsid w:val="6EEB6E6E"/>
    <w:rsid w:val="6F3F35F9"/>
    <w:rsid w:val="75BE9972"/>
    <w:rsid w:val="77D95A47"/>
    <w:rsid w:val="796F3FAE"/>
    <w:rsid w:val="7B718763"/>
    <w:rsid w:val="7BB7D39E"/>
    <w:rsid w:val="7BD7F202"/>
    <w:rsid w:val="7BEE4BBB"/>
    <w:rsid w:val="7BF22D3C"/>
    <w:rsid w:val="7BF94933"/>
    <w:rsid w:val="7BFFE2E2"/>
    <w:rsid w:val="7C67474C"/>
    <w:rsid w:val="7D7FF1C2"/>
    <w:rsid w:val="7DA6336A"/>
    <w:rsid w:val="7EBF5FE0"/>
    <w:rsid w:val="7EDD6D0D"/>
    <w:rsid w:val="7EFDD9C6"/>
    <w:rsid w:val="7EFF7881"/>
    <w:rsid w:val="7F7F1187"/>
    <w:rsid w:val="7FE70DED"/>
    <w:rsid w:val="7FFB491A"/>
    <w:rsid w:val="93F7C0D0"/>
    <w:rsid w:val="96E63004"/>
    <w:rsid w:val="9E1F8464"/>
    <w:rsid w:val="AEED40D1"/>
    <w:rsid w:val="AFEF840D"/>
    <w:rsid w:val="B76ECC45"/>
    <w:rsid w:val="BBF32D20"/>
    <w:rsid w:val="BDDF18F2"/>
    <w:rsid w:val="BE5C51DE"/>
    <w:rsid w:val="BFFBA038"/>
    <w:rsid w:val="C2EF51A2"/>
    <w:rsid w:val="C9FFE12E"/>
    <w:rsid w:val="D676ADE1"/>
    <w:rsid w:val="D7E7FE17"/>
    <w:rsid w:val="DAE43102"/>
    <w:rsid w:val="DDB47CCE"/>
    <w:rsid w:val="DFAF4456"/>
    <w:rsid w:val="E0FEF555"/>
    <w:rsid w:val="E5F50563"/>
    <w:rsid w:val="E6DA19CC"/>
    <w:rsid w:val="E99EA587"/>
    <w:rsid w:val="EBBF14F7"/>
    <w:rsid w:val="EE7B04DA"/>
    <w:rsid w:val="EE7E68E7"/>
    <w:rsid w:val="EEDB0E7C"/>
    <w:rsid w:val="EF6BB8B1"/>
    <w:rsid w:val="F2F4D7D5"/>
    <w:rsid w:val="F37D276C"/>
    <w:rsid w:val="F58B3ED1"/>
    <w:rsid w:val="F699ECCD"/>
    <w:rsid w:val="F7B7A9E6"/>
    <w:rsid w:val="F7DF937E"/>
    <w:rsid w:val="FBF751DC"/>
    <w:rsid w:val="FEEDFCE0"/>
    <w:rsid w:val="FEF5DD41"/>
    <w:rsid w:val="FF7B2429"/>
    <w:rsid w:val="FFAE9B2A"/>
    <w:rsid w:val="FFF767F1"/>
    <w:rsid w:val="FFFDD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61"/>
      <w:ind w:left="1674"/>
      <w:outlineLvl w:val="1"/>
    </w:pPr>
    <w:rPr>
      <w:rFonts w:ascii="宋体" w:hAnsi="宋体" w:eastAsia="宋体" w:cs="宋体"/>
      <w:sz w:val="32"/>
      <w:szCs w:val="32"/>
      <w:lang w:val="en-US" w:eastAsia="zh-CN" w:bidi="ar-SA"/>
    </w:rPr>
  </w:style>
  <w:style w:type="paragraph" w:styleId="3">
    <w:name w:val="heading 2"/>
    <w:basedOn w:val="1"/>
    <w:next w:val="1"/>
    <w:qFormat/>
    <w:uiPriority w:val="1"/>
    <w:pPr>
      <w:ind w:left="580"/>
      <w:outlineLvl w:val="2"/>
    </w:pPr>
    <w:rPr>
      <w:rFonts w:ascii="Microsoft YaHei UI" w:hAnsi="Microsoft YaHei UI" w:eastAsia="Microsoft YaHei UI" w:cs="Microsoft YaHei UI"/>
      <w:b/>
      <w:bCs/>
      <w:sz w:val="24"/>
      <w:szCs w:val="24"/>
      <w:lang w:val="en-US" w:eastAsia="zh-CN" w:bidi="ar-SA"/>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宋体" w:hAnsi="宋体" w:eastAsia="宋体" w:cs="宋体"/>
      <w:sz w:val="24"/>
      <w:szCs w:val="24"/>
      <w:lang w:val="en-US" w:eastAsia="zh-CN" w:bidi="ar-SA"/>
    </w:rPr>
  </w:style>
  <w:style w:type="paragraph" w:styleId="5">
    <w:name w:val="Body Text Indent"/>
    <w:basedOn w:val="1"/>
    <w:unhideWhenUsed/>
    <w:qFormat/>
    <w:uiPriority w:val="99"/>
    <w:pPr>
      <w:spacing w:line="560" w:lineRule="exact"/>
      <w:ind w:firstLine="640"/>
      <w:jc w:val="both"/>
      <w:textAlignment w:val="baseline"/>
    </w:pPr>
    <w:rPr>
      <w:rFonts w:hint="eastAsia" w:ascii="Calibri" w:hAnsi="Calibri" w:eastAsia="黑体" w:cs="Times New Roman"/>
      <w:kern w:val="2"/>
      <w:sz w:val="32"/>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qFormat/>
    <w:uiPriority w:val="0"/>
    <w:pPr>
      <w:spacing w:line="312" w:lineRule="auto"/>
      <w:jc w:val="center"/>
      <w:outlineLvl w:val="1"/>
    </w:pPr>
    <w:rPr>
      <w:rFonts w:ascii="Arial" w:hAnsi="Arial" w:eastAsia="宋体" w:cs="Arial"/>
      <w:b/>
      <w:bCs/>
      <w:kern w:val="28"/>
      <w:sz w:val="32"/>
      <w:szCs w:val="32"/>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1"/>
    <w:pPr>
      <w:spacing w:before="324"/>
      <w:ind w:right="136"/>
      <w:jc w:val="center"/>
    </w:pPr>
    <w:rPr>
      <w:rFonts w:ascii="宋体" w:hAnsi="宋体" w:eastAsia="宋体" w:cs="宋体"/>
      <w:sz w:val="52"/>
      <w:szCs w:val="52"/>
      <w:lang w:val="en-US" w:eastAsia="zh-CN" w:bidi="ar-SA"/>
    </w:rPr>
  </w:style>
  <w:style w:type="paragraph" w:styleId="12">
    <w:name w:val="Body Text First Indent 2"/>
    <w:basedOn w:val="5"/>
    <w:unhideWhenUsed/>
    <w:qFormat/>
    <w:uiPriority w:val="99"/>
    <w:pPr>
      <w:spacing w:line="560" w:lineRule="exact"/>
      <w:ind w:firstLine="420" w:firstLineChars="200"/>
      <w:jc w:val="both"/>
      <w:textAlignment w:val="baseline"/>
    </w:pPr>
    <w:rPr>
      <w:rFonts w:hint="eastAsia" w:ascii="Calibri" w:hAnsi="Calibri" w:eastAsia="黑体" w:cs="Times New Roman"/>
      <w:kern w:val="2"/>
      <w:sz w:val="32"/>
      <w:lang w:val="en-US" w:eastAsia="zh-CN"/>
    </w:rPr>
  </w:style>
  <w:style w:type="character" w:styleId="15">
    <w:name w:val="Strong"/>
    <w:basedOn w:val="14"/>
    <w:qFormat/>
    <w:uiPriority w:val="0"/>
    <w:rPr>
      <w:b/>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00" w:right="237" w:firstLine="480"/>
    </w:pPr>
    <w:rPr>
      <w:rFonts w:ascii="宋体" w:hAnsi="宋体" w:eastAsia="宋体" w:cs="宋体"/>
      <w:lang w:val="en-US" w:eastAsia="zh-CN" w:bidi="ar-SA"/>
    </w:rPr>
  </w:style>
  <w:style w:type="paragraph" w:customStyle="1" w:styleId="18">
    <w:name w:val="Table Paragraph"/>
    <w:basedOn w:val="1"/>
    <w:qFormat/>
    <w:uiPriority w:val="1"/>
    <w:rPr>
      <w:lang w:val="en-US" w:eastAsia="zh-CN" w:bidi="ar-SA"/>
    </w:rPr>
  </w:style>
  <w:style w:type="paragraph" w:customStyle="1" w:styleId="19">
    <w:name w:val="Default"/>
    <w:next w:val="8"/>
    <w:qFormat/>
    <w:uiPriority w:val="0"/>
    <w:pPr>
      <w:widowControl w:val="0"/>
      <w:autoSpaceDE w:val="0"/>
      <w:autoSpaceDN w:val="0"/>
      <w:adjustRightInd w:val="0"/>
    </w:pPr>
    <w:rPr>
      <w:rFonts w:ascii="???????" w:hAnsi="???????" w:eastAsia="宋体"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2023-08-28T01:09:00Z</dcterms:created>
  <dc:creator>Administrator</dc:creator>
  <cp:lastModifiedBy>政府方</cp:lastModifiedBy>
  <cp:lastPrinted>2023-11-27T12:12:44Z</cp:lastPrinted>
  <dcterms:modified xsi:type="dcterms:W3CDTF">2023-11-27T12:20:18Z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WPS 文字</vt:lpwstr>
  </property>
  <property fmtid="{D5CDD505-2E9C-101B-9397-08002B2CF9AE}" pid="4" name="LastSaved">
    <vt:filetime>2023-08-23T00:00:00Z</vt:filetime>
  </property>
  <property fmtid="{D5CDD505-2E9C-101B-9397-08002B2CF9AE}" pid="5" name="KSOProductBuildVer">
    <vt:lpwstr>2052-11.8.2.10458</vt:lpwstr>
  </property>
</Properties>
</file>