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Layout w:type="autofit"/>
        <w:tblCellMar>
          <w:top w:w="0" w:type="dxa"/>
          <w:left w:w="0" w:type="dxa"/>
          <w:bottom w:w="0" w:type="dxa"/>
          <w:right w:w="0" w:type="dxa"/>
        </w:tblCellMar>
      </w:tblPr>
      <w:tblGrid>
        <w:gridCol w:w="8838"/>
      </w:tblGrid>
      <w:tr>
        <w:tblPrEx>
          <w:tblCellMar>
            <w:top w:w="0" w:type="dxa"/>
            <w:left w:w="0" w:type="dxa"/>
            <w:bottom w:w="0" w:type="dxa"/>
            <w:right w:w="0" w:type="dxa"/>
          </w:tblCellMar>
        </w:tblPrEx>
        <w:trPr>
          <w:trHeight w:val="4280" w:hRule="exact"/>
          <w:tblHeader/>
        </w:trPr>
        <w:tc>
          <w:tcPr>
            <w:tcW w:w="8844" w:type="dxa"/>
            <w:noWrap w:val="0"/>
            <w:vAlign w:val="bottom"/>
          </w:tcPr>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仿宋_GB2312"/>
                <w:color w:val="000000" w:themeColor="text1"/>
                <w:spacing w:val="8"/>
                <w:sz w:val="30"/>
                <w:szCs w:val="30"/>
                <w14:textFill>
                  <w14:solidFill>
                    <w14:schemeClr w14:val="tx1"/>
                  </w14:solidFill>
                </w14:textFill>
              </w:rPr>
            </w:pPr>
            <w:r>
              <w:rPr>
                <w:rFonts w:hint="eastAsia" w:ascii="宋体" w:hAnsi="宋体" w:eastAsia="仿宋_GB2312"/>
                <w:color w:val="000000" w:themeColor="text1"/>
                <w:spacing w:val="8"/>
                <w:sz w:val="30"/>
                <w:szCs w:val="30"/>
                <w14:textFill>
                  <w14:solidFill>
                    <w14:schemeClr w14:val="tx1"/>
                  </w14:solidFill>
                </w14:textFill>
              </w:rPr>
              <w:t>济乡振〔202</w:t>
            </w:r>
            <w:r>
              <w:rPr>
                <w:rFonts w:hint="eastAsia" w:ascii="宋体" w:hAnsi="宋体" w:eastAsia="仿宋_GB2312"/>
                <w:color w:val="000000" w:themeColor="text1"/>
                <w:spacing w:val="8"/>
                <w:sz w:val="30"/>
                <w:szCs w:val="30"/>
                <w:lang w:val="en-US" w:eastAsia="zh-CN"/>
                <w14:textFill>
                  <w14:solidFill>
                    <w14:schemeClr w14:val="tx1"/>
                  </w14:solidFill>
                </w14:textFill>
              </w:rPr>
              <w:t>2</w:t>
            </w:r>
            <w:r>
              <w:rPr>
                <w:rFonts w:hint="eastAsia" w:ascii="宋体" w:hAnsi="宋体" w:eastAsia="仿宋_GB2312"/>
                <w:color w:val="000000" w:themeColor="text1"/>
                <w:spacing w:val="8"/>
                <w:sz w:val="30"/>
                <w:szCs w:val="30"/>
                <w14:textFill>
                  <w14:solidFill>
                    <w14:schemeClr w14:val="tx1"/>
                  </w14:solidFill>
                </w14:textFill>
              </w:rPr>
              <w:t>〕</w:t>
            </w:r>
            <w:r>
              <w:rPr>
                <w:rFonts w:hint="eastAsia" w:ascii="宋体" w:hAnsi="宋体" w:eastAsia="仿宋_GB2312"/>
                <w:color w:val="000000" w:themeColor="text1"/>
                <w:spacing w:val="8"/>
                <w:sz w:val="30"/>
                <w:szCs w:val="30"/>
                <w:lang w:val="en-US" w:eastAsia="zh-CN"/>
                <w14:textFill>
                  <w14:solidFill>
                    <w14:schemeClr w14:val="tx1"/>
                  </w14:solidFill>
                </w14:textFill>
              </w:rPr>
              <w:t>26</w:t>
            </w:r>
            <w:r>
              <w:rPr>
                <w:rFonts w:hint="eastAsia" w:ascii="宋体" w:hAnsi="宋体" w:eastAsia="仿宋_GB2312"/>
                <w:color w:val="000000" w:themeColor="text1"/>
                <w:spacing w:val="8"/>
                <w:sz w:val="30"/>
                <w:szCs w:val="30"/>
                <w14:textFill>
                  <w14:solidFill>
                    <w14:schemeClr w14:val="tx1"/>
                  </w14:solidFill>
                </w14:textFill>
              </w:rPr>
              <w:t>号</w:t>
            </w: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olor w:val="000000" w:themeColor="text1"/>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pPr>
        <w:pStyle w:val="4"/>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center"/>
        <w:textAlignment w:val="auto"/>
        <w:rPr>
          <w:rFonts w:hint="eastAsia" w:ascii="宋体" w:hAnsi="宋体" w:eastAsia="方正小标宋简体" w:cs="方正小标宋简体"/>
          <w:b w:val="0"/>
          <w:bCs/>
          <w:color w:val="000000" w:themeColor="text1"/>
          <w:sz w:val="44"/>
          <w:szCs w:val="44"/>
          <w:lang w:val="en-US" w:eastAsia="zh-CN"/>
          <w14:textFill>
            <w14:solidFill>
              <w14:schemeClr w14:val="tx1"/>
            </w14:solidFill>
          </w14:textFill>
        </w:rPr>
      </w:pPr>
      <w:r>
        <w:rPr>
          <w:rFonts w:hint="eastAsia" w:ascii="宋体" w:hAnsi="宋体" w:eastAsia="方正小标宋简体" w:cs="方正小标宋简体"/>
          <w:b w:val="0"/>
          <w:bCs/>
          <w:color w:val="000000" w:themeColor="text1"/>
          <w:sz w:val="44"/>
          <w:szCs w:val="44"/>
          <w:lang w:val="en-US" w:eastAsia="zh-CN"/>
          <w14:textFill>
            <w14:solidFill>
              <w14:schemeClr w14:val="tx1"/>
            </w14:solidFill>
          </w14:textFill>
        </w:rPr>
        <w:t>济源示</w:t>
      </w:r>
      <w:bookmarkStart w:id="0" w:name="_GoBack"/>
      <w:bookmarkEnd w:id="0"/>
      <w:r>
        <w:rPr>
          <w:rFonts w:hint="eastAsia" w:ascii="宋体" w:hAnsi="宋体" w:eastAsia="方正小标宋简体" w:cs="方正小标宋简体"/>
          <w:b w:val="0"/>
          <w:bCs/>
          <w:color w:val="000000" w:themeColor="text1"/>
          <w:sz w:val="44"/>
          <w:szCs w:val="44"/>
          <w:lang w:val="en-US" w:eastAsia="zh-CN"/>
          <w14:textFill>
            <w14:solidFill>
              <w14:schemeClr w14:val="tx1"/>
            </w14:solidFill>
          </w14:textFill>
        </w:rPr>
        <w:t>范区乡村振兴局</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关于印发《</w:t>
      </w:r>
      <w:r>
        <w:rPr>
          <w:rFonts w:hint="eastAsia" w:ascii="宋体" w:hAnsi="宋体" w:eastAsia="方正小标宋简体" w:cs="方正小标宋简体"/>
          <w:sz w:val="44"/>
          <w:szCs w:val="44"/>
          <w:lang w:eastAsia="zh-CN"/>
        </w:rPr>
        <w:t>济源示范区</w:t>
      </w:r>
      <w:r>
        <w:rPr>
          <w:rFonts w:hint="eastAsia" w:ascii="宋体" w:hAnsi="宋体" w:eastAsia="方正小标宋简体" w:cs="方正小标宋简体"/>
          <w:sz w:val="44"/>
          <w:szCs w:val="44"/>
        </w:rPr>
        <w:t>财政衔接推进乡村振兴</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补助资金(巩固拓展脱贫攻坚成果和乡村振兴任务)支持项目申报入库指南》的通知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ascii="宋体" w:hAnsi="宋体"/>
          <w:sz w:val="21"/>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各镇人民政府，各相关单位: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现将《济源示范区财政衔接推进乡村振兴补助资金(巩固拓展脱贫攻坚成果和乡村振兴任务)支持项目申报入库指南》印发给你们，请认真抓好落实，结合实际做好巩固拓展脱贫攻坚成果和乡村振兴项目的谋划和储备。</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5400" w:firstLineChars="1800"/>
        <w:jc w:val="both"/>
        <w:textAlignment w:val="auto"/>
        <w:rPr>
          <w:rFonts w:hint="eastAsia" w:ascii="宋体" w:hAnsi="宋体" w:eastAsia="仿宋_GB2312" w:cs="Times New Roman"/>
          <w:bCs/>
          <w:snapToGrid/>
          <w:kern w:val="0"/>
          <w:sz w:val="30"/>
          <w:szCs w:val="30"/>
          <w:lang w:val="en-US" w:eastAsia="zh-CN" w:bidi="ar-SA"/>
        </w:rPr>
      </w:pPr>
    </w:p>
    <w:p>
      <w:pPr>
        <w:pStyle w:val="2"/>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840" w:rightChars="400"/>
        <w:jc w:val="right"/>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2022年7月25日</w:t>
      </w:r>
    </w:p>
    <w:p>
      <w:pPr>
        <w:keepNext w:val="0"/>
        <w:keepLines w:val="0"/>
        <w:pageBreakBefore w:val="0"/>
        <w:widowControl w:val="0"/>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lang w:eastAsia="zh-CN"/>
        </w:rPr>
        <w:t>济源示范区</w:t>
      </w:r>
      <w:r>
        <w:rPr>
          <w:rFonts w:hint="eastAsia" w:ascii="宋体" w:hAnsi="宋体" w:eastAsia="方正小标宋简体" w:cs="方正小标宋简体"/>
          <w:sz w:val="44"/>
          <w:szCs w:val="44"/>
        </w:rPr>
        <w:t>财政衔接推进乡村振兴补助资金</w:t>
      </w:r>
    </w:p>
    <w:p>
      <w:pPr>
        <w:keepNext w:val="0"/>
        <w:keepLines w:val="0"/>
        <w:pageBreakBefore w:val="0"/>
        <w:widowControl w:val="0"/>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(巩固拓展脱贫攻坚成果和乡村振兴任务)</w:t>
      </w:r>
    </w:p>
    <w:p>
      <w:pPr>
        <w:keepNext w:val="0"/>
        <w:keepLines w:val="0"/>
        <w:pageBreakBefore w:val="0"/>
        <w:widowControl w:val="0"/>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支持项目申报入库指南</w:t>
      </w:r>
    </w:p>
    <w:p>
      <w:pPr>
        <w:keepNext w:val="0"/>
        <w:keepLines w:val="0"/>
        <w:pageBreakBefore w:val="0"/>
        <w:widowControl w:val="0"/>
        <w:wordWrap/>
        <w:overflowPunct/>
        <w:topLinePunct w:val="0"/>
        <w:autoSpaceDE/>
        <w:autoSpaceDN/>
        <w:bidi w:val="0"/>
        <w:adjustRightInd/>
        <w:snapToGrid/>
        <w:spacing w:line="600" w:lineRule="exact"/>
        <w:textAlignment w:val="auto"/>
        <w:rPr>
          <w:rFonts w:ascii="宋体" w:hAnsi="宋体"/>
          <w:sz w:val="21"/>
        </w:rPr>
      </w:pP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为进一步推动财政衔接推进乡村振兴补助资金(巩固拓展脱贫攻坚成果和乡村振兴任务)〔以下简称“衔接资金(巩固拓展任务)”〕支持项目的谋划和储备，搞好巩固拓展脱贫攻坚成果和乡村振兴三年滚动项目库建设，根据《河南省财政衔接推进乡村振兴补助资金管理办法》(豫财农综〔2021</w:t>
      </w:r>
      <w:r>
        <w:rPr>
          <w:rFonts w:hint="eastAsia" w:ascii="宋体" w:hAnsi="宋体" w:eastAsia="仿宋" w:cs="仿宋"/>
          <w:bCs/>
          <w:snapToGrid/>
          <w:kern w:val="0"/>
          <w:sz w:val="30"/>
          <w:szCs w:val="30"/>
          <w:lang w:val="en-US" w:eastAsia="zh-CN" w:bidi="ar-SA"/>
        </w:rPr>
        <w:t>〕</w:t>
      </w:r>
      <w:r>
        <w:rPr>
          <w:rFonts w:hint="eastAsia" w:ascii="宋体" w:hAnsi="宋体" w:eastAsia="仿宋_GB2312" w:cs="Times New Roman"/>
          <w:bCs/>
          <w:snapToGrid/>
          <w:kern w:val="0"/>
          <w:sz w:val="30"/>
          <w:szCs w:val="30"/>
          <w:lang w:val="en-US" w:eastAsia="zh-CN" w:bidi="ar-SA"/>
        </w:rPr>
        <w:t>9号)、《关于加强财政衔接推进乡村振兴补助资金使用管理的通知》(豫财农综〔2022〕5号)、《关于做好县级巩固拓展脱贫攻坚成果和乡村振兴项目库建设的指导意见》(豫乡振〔2021〕11 号)、《河南省乡村振兴局关于印发河南省财政衔接推进乡村振兴补助资金(巩固拓展脱贫攻坚成果和乡村振兴任务)支持项目申报入库指南的通知》（豫乡振〔2022〕52号）以及《济源示范区财政衔接推进乡村振兴补助资金管理办法》（济管财金〔2021〕158号）等有关规定和要求，制定本指南。</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黑体" w:cs="黑体"/>
          <w:bCs/>
          <w:snapToGrid/>
          <w:kern w:val="0"/>
          <w:sz w:val="30"/>
          <w:szCs w:val="30"/>
          <w:lang w:val="en-US" w:eastAsia="zh-CN" w:bidi="ar-SA"/>
        </w:rPr>
      </w:pPr>
      <w:r>
        <w:rPr>
          <w:rFonts w:hint="eastAsia" w:ascii="宋体" w:hAnsi="宋体" w:eastAsia="黑体" w:cs="黑体"/>
          <w:bCs/>
          <w:snapToGrid/>
          <w:kern w:val="0"/>
          <w:sz w:val="30"/>
          <w:szCs w:val="30"/>
          <w:lang w:val="en-US" w:eastAsia="zh-CN" w:bidi="ar-SA"/>
        </w:rPr>
        <w:t>一、总体要求</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(一)指导思想。</w:t>
      </w:r>
      <w:r>
        <w:rPr>
          <w:rFonts w:hint="eastAsia" w:ascii="宋体" w:hAnsi="宋体" w:eastAsia="仿宋_GB2312" w:cs="Times New Roman"/>
          <w:bCs/>
          <w:snapToGrid/>
          <w:kern w:val="0"/>
          <w:sz w:val="30"/>
          <w:szCs w:val="30"/>
          <w:lang w:val="en-US" w:eastAsia="zh-CN" w:bidi="ar-SA"/>
        </w:rPr>
        <w:t>以习近平新时代中国特色社会主义思想为指导，深入贯彻习近平总书记关于巩固拓展脱贫攻坚成果同乡村振兴有效衔接的重要指示批示精神，认真落实省委、省政府和示范区党工委、管委会决策部署，按照全国加强衔接推进乡村振兴补助资金使用管理工作视频会议、全省2022年度巩固脱贫攻坚成果同乡村振兴有效衔接推进会议精神，积极适应巩固衔接工作形势的发展变化，树牢“项目为王”的鲜明导向，聚焦“守底线、抓发展、促振兴”，突出衔接资金支持重点，做深做实项目前期工作，规范项目入库资料，强化项目入库论证，科学细致谋划和储备一批高质量项目，切实解决“资金等项目”问题，最大程度发挥衔接资金使用效益，推进巩固拓展脱贫攻坚成果同乡村振兴有效衔接。</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楷体_GB2312" w:cs="楷体_GB2312"/>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(二)基本原则</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1.坚持聚焦重点。聚焦坚决守住不发生规模性返贫的底线，把巩固拓展脱贫攻坚成果放在突出位置，优先谋划和储备群众需求强烈、短板突出、带动增收能力强、利益联结机制紧密的项目，提高入库项目质量。</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2.坚持程序规范。到村带户项目坚持“村申报、镇审核、部门论证、示范区审定”的程序。对跨区域、规模化的项目，可由镇或行业部门申报。因疫情、灾情等突发事件影响急需实施的项目，可适当优化项目入库流程。</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3.坚持群众参与。充分尊重群众意愿，积极推广群众民主议事决策机制，引导其参与项目谋划设计，提高其知晓度、参与度，切实增强群众获得感。项目申报入库全过程落实公告公示制度，接受群众和社会监督，实行阳光化管理。</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4.坚持防范风险。坚持从实际出发，充分考虑发展阶段、承受能力、资源禀赋，量力而行，合理确定建设标准，避免无效投入造成浪费，防范债务风险，坚决杜绝形象工程、政绩工程。</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黑体" w:cs="黑体"/>
          <w:bCs/>
          <w:snapToGrid/>
          <w:kern w:val="0"/>
          <w:sz w:val="30"/>
          <w:szCs w:val="30"/>
          <w:lang w:val="en-US" w:eastAsia="zh-CN" w:bidi="ar-SA"/>
        </w:rPr>
      </w:pPr>
      <w:r>
        <w:rPr>
          <w:rFonts w:hint="eastAsia" w:ascii="宋体" w:hAnsi="宋体" w:eastAsia="黑体" w:cs="黑体"/>
          <w:bCs/>
          <w:snapToGrid/>
          <w:kern w:val="0"/>
          <w:sz w:val="30"/>
          <w:szCs w:val="30"/>
          <w:lang w:val="en-US" w:eastAsia="zh-CN" w:bidi="ar-SA"/>
        </w:rPr>
        <w:t>二、申报项目范围</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根据中央、省和示范区衔接资金(巩固拓展任务)支持的范围，申报项目具体包括：</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(一)产业发展类。</w:t>
      </w:r>
      <w:r>
        <w:rPr>
          <w:rFonts w:hint="eastAsia" w:ascii="宋体" w:hAnsi="宋体" w:eastAsia="仿宋_GB2312" w:cs="Times New Roman"/>
          <w:bCs/>
          <w:snapToGrid/>
          <w:kern w:val="0"/>
          <w:sz w:val="30"/>
          <w:szCs w:val="30"/>
          <w:lang w:val="en-US" w:eastAsia="zh-CN" w:bidi="ar-SA"/>
        </w:rPr>
        <w:t>优先支持联农带农富农产业发展，支持以产业发展规划为引领，重点支持具有较好资源禀赋、良好市场前景、带动增收能力强的种养业。延伸支持农产品精深加工、副产物综合利用和以农业产业为主体的一二三产业融合发展。着眼于促进全产业链发展和产业集聚发展，重点用于补上技术、设施、营销等短板。支持推广良种良法和先进生产加工技术，购买技术服务。支持建设配套于具体产业项目的农业生产设施，以当地农产品为主要原料供应的加工、产地冷藏保鲜等产业配套设施，鼓励建设标准化生产、加工、仓储基地。支持农产品、特色手工制品品牌打造和产销对接，促进解决农产品“卖难”问题。支持现代农业产业园、农业产业强镇和优势特色产业集群建设。支持对符合条件的监测对象、脱贫人口开展小额信贷贴息。</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(二)就业创业类</w:t>
      </w:r>
      <w:r>
        <w:rPr>
          <w:rFonts w:hint="eastAsia" w:ascii="宋体" w:hAnsi="宋体" w:eastAsia="仿宋_GB2312" w:cs="Times New Roman"/>
          <w:bCs/>
          <w:snapToGrid/>
          <w:kern w:val="0"/>
          <w:sz w:val="30"/>
          <w:szCs w:val="30"/>
          <w:lang w:val="en-US" w:eastAsia="zh-CN" w:bidi="ar-SA"/>
        </w:rPr>
        <w:t>。支持对符合条件的监测对象、脱贫人口开展生产经营和劳动技能培训，优先聘用监测对象等从事公益岗位，帮助就业创业增收。对跨省就业的脱贫劳动力(含监测对象)，按照《关于印发济源产城融合示范区脱贫人口跨省就业补助交通费实施方案的通知》（济管人社</w:t>
      </w:r>
      <w:r>
        <w:rPr>
          <w:rFonts w:hint="eastAsia" w:ascii="宋体" w:hAnsi="宋体" w:eastAsia="仿宋" w:cs="仿宋"/>
          <w:bCs/>
          <w:snapToGrid/>
          <w:kern w:val="0"/>
          <w:sz w:val="30"/>
          <w:szCs w:val="30"/>
          <w:lang w:val="en-US" w:eastAsia="zh-CN" w:bidi="ar-SA"/>
        </w:rPr>
        <w:t>〔2022〕12号</w:t>
      </w:r>
      <w:r>
        <w:rPr>
          <w:rFonts w:hint="eastAsia" w:ascii="宋体" w:hAnsi="宋体" w:eastAsia="仿宋_GB2312" w:cs="Times New Roman"/>
          <w:bCs/>
          <w:snapToGrid/>
          <w:kern w:val="0"/>
          <w:sz w:val="30"/>
          <w:szCs w:val="30"/>
          <w:lang w:val="en-US" w:eastAsia="zh-CN" w:bidi="ar-SA"/>
        </w:rPr>
        <w:t>）要求，给予一次性往返交通补助。对符合条件的脱贫家庭(含监测对象)安排“雨露计划”补助，帮助提升就业能力。支持对农业产业化龙头企业、新型农业经营主体及其他工商企业等积极吸纳脱贫劳动力稳定就业的给予一定补助或奖励。</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(三)易地扶贫搬迁后续扶持。</w:t>
      </w:r>
      <w:r>
        <w:rPr>
          <w:rFonts w:hint="eastAsia" w:ascii="宋体" w:hAnsi="宋体" w:eastAsia="仿宋_GB2312" w:cs="Times New Roman"/>
          <w:bCs/>
          <w:snapToGrid/>
          <w:kern w:val="0"/>
          <w:sz w:val="30"/>
          <w:szCs w:val="30"/>
          <w:lang w:val="en-US" w:eastAsia="zh-CN" w:bidi="ar-SA"/>
        </w:rPr>
        <w:t>支持完善易地搬迁安置区必要的配套设施，适当补助“一站式”社区综合服务设施建设。</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(四)乡村建设行动类。</w:t>
      </w:r>
      <w:r>
        <w:rPr>
          <w:rFonts w:hint="eastAsia" w:ascii="宋体" w:hAnsi="宋体" w:eastAsia="仿宋_GB2312" w:cs="Times New Roman"/>
          <w:bCs/>
          <w:snapToGrid/>
          <w:kern w:val="0"/>
          <w:sz w:val="30"/>
          <w:szCs w:val="30"/>
          <w:lang w:val="en-US" w:eastAsia="zh-CN" w:bidi="ar-SA"/>
        </w:rPr>
        <w:t>支持有条件、有需求的村庄编制村庄规划，重点支持因地制宜补齐农村供水设施短板、稳步提升农村供水保障水平，补齐必要的农村人居环境整治和小型公益性基础设施短板。</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(五)项目管理费。</w:t>
      </w:r>
      <w:r>
        <w:rPr>
          <w:rFonts w:hint="eastAsia" w:ascii="宋体" w:hAnsi="宋体" w:eastAsia="仿宋_GB2312" w:cs="Times New Roman"/>
          <w:bCs/>
          <w:snapToGrid/>
          <w:kern w:val="0"/>
          <w:sz w:val="30"/>
          <w:szCs w:val="30"/>
          <w:lang w:val="en-US" w:eastAsia="zh-CN" w:bidi="ar-SA"/>
        </w:rPr>
        <w:t>支持项目前期设计、预算评审、招标、监理、验收、绩效管理等与项目管理相关的支出。</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根据申报入库项目范围，结合全国防返贫监测信息系统项目库模块进行项目分类，具体见附件1。</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黑体" w:cs="黑体"/>
          <w:bCs/>
          <w:snapToGrid/>
          <w:kern w:val="0"/>
          <w:sz w:val="30"/>
          <w:szCs w:val="30"/>
          <w:lang w:val="en-US" w:eastAsia="zh-CN" w:bidi="ar-SA"/>
        </w:rPr>
      </w:pPr>
      <w:r>
        <w:rPr>
          <w:rFonts w:hint="eastAsia" w:ascii="宋体" w:hAnsi="宋体" w:eastAsia="黑体" w:cs="黑体"/>
          <w:bCs/>
          <w:snapToGrid/>
          <w:kern w:val="0"/>
          <w:sz w:val="30"/>
          <w:szCs w:val="30"/>
          <w:lang w:val="en-US" w:eastAsia="zh-CN" w:bidi="ar-SA"/>
        </w:rPr>
        <w:t>三、项目申报要求</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(一)项目申报主体为有巩固拓展脱贫攻坚成果同乡村振兴有效衔接任务的镇、行政村、易地搬迁社区和示范区相关行业部门。</w:t>
      </w:r>
      <w:r>
        <w:rPr>
          <w:rFonts w:hint="eastAsia" w:ascii="宋体" w:hAnsi="宋体" w:eastAsia="仿宋_GB2312" w:cs="Times New Roman"/>
          <w:bCs/>
          <w:snapToGrid/>
          <w:kern w:val="0"/>
          <w:sz w:val="30"/>
          <w:szCs w:val="30"/>
          <w:lang w:val="en-US" w:eastAsia="zh-CN" w:bidi="ar-SA"/>
        </w:rPr>
        <w:t>村级集体经济组织申报项目由所在行政村负责。龙头企业、专业合作社、家庭农场等生产经营主体申报项目由所在行政村、镇和示范区相关行业部门负责，一律不得由中介机构直接代理。</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(二)编制项目实施方案时，要加强中央和省级衔接资金(巩固拓展任务)与其他分任务衔接资金、其他财政资金的统筹。</w:t>
      </w:r>
      <w:r>
        <w:rPr>
          <w:rFonts w:hint="eastAsia" w:ascii="宋体" w:hAnsi="宋体" w:eastAsia="仿宋_GB2312" w:cs="Times New Roman"/>
          <w:bCs/>
          <w:snapToGrid/>
          <w:kern w:val="0"/>
          <w:sz w:val="30"/>
          <w:szCs w:val="30"/>
          <w:lang w:val="en-US" w:eastAsia="zh-CN" w:bidi="ar-SA"/>
        </w:rPr>
        <w:t>中央和省级衔接资金(少数民族发展任务、欠发达国有林场巩固提升任务)支持的项目原则上通过其任务资金支持。同一项目整合不同渠道资金实施的，需在项目实施方案中明确中央和省级衔接资金(巩固拓展任务)具体支持内容，避免交叉重复。</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(三)中央、省和示范区衔接资金管理办法中明确规定的负面清单项目不得入库。未明确绩效目标的项目不得入库，违反生态保护、永久基本农田、城镇开发边界三条红线的项目不得入库。</w:t>
      </w:r>
      <w:r>
        <w:rPr>
          <w:rFonts w:hint="eastAsia" w:ascii="宋体" w:hAnsi="宋体" w:eastAsia="仿宋_GB2312" w:cs="Times New Roman"/>
          <w:bCs/>
          <w:snapToGrid/>
          <w:kern w:val="0"/>
          <w:sz w:val="30"/>
          <w:szCs w:val="30"/>
          <w:lang w:val="en-US" w:eastAsia="zh-CN" w:bidi="ar-SA"/>
        </w:rPr>
        <w:t>各级衔接资金(巩固拓展任务)不支持低保、医保、养老保险、临时救助等有稳定、固定资金渠道的综合保障措施项目和教育、卫生、养老服务、文化等有相应资金渠道的农村基本公共服务项目。</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楷体_GB2312" w:cs="楷体_GB2312"/>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四)各级衔接资金(巩固拓展任务)支持项目原则上不得跨年度安排，确因项目较大或实施工期较长需跨年度实施的，要明确中央和省级衔接资金(巩固拓展任务)支持项目的整体建设内容、绩效目标以及每年度的具体建设内容、绩效目标。</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黑体" w:cs="黑体"/>
          <w:bCs/>
          <w:snapToGrid/>
          <w:kern w:val="0"/>
          <w:sz w:val="30"/>
          <w:szCs w:val="30"/>
          <w:lang w:val="en-US" w:eastAsia="zh-CN" w:bidi="ar-SA"/>
        </w:rPr>
      </w:pPr>
      <w:r>
        <w:rPr>
          <w:rFonts w:hint="eastAsia" w:ascii="宋体" w:hAnsi="宋体" w:eastAsia="黑体" w:cs="黑体"/>
          <w:bCs/>
          <w:snapToGrid/>
          <w:kern w:val="0"/>
          <w:sz w:val="30"/>
          <w:szCs w:val="30"/>
          <w:lang w:val="en-US" w:eastAsia="zh-CN" w:bidi="ar-SA"/>
        </w:rPr>
        <w:t>四、项目申报资料</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项目申报根据申报主体和申报程序不同，提供必要的项目申报资料。</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 w:val="0"/>
          <w:bCs/>
          <w:snapToGrid/>
          <w:kern w:val="0"/>
          <w:sz w:val="30"/>
          <w:szCs w:val="30"/>
          <w:lang w:val="en-US" w:eastAsia="zh-CN" w:bidi="ar-SA"/>
        </w:rPr>
        <w:t>(一)到村到户项目。</w:t>
      </w:r>
      <w:r>
        <w:rPr>
          <w:rFonts w:hint="eastAsia" w:ascii="宋体" w:hAnsi="宋体" w:eastAsia="仿宋_GB2312" w:cs="仿宋_GB2312"/>
          <w:bCs/>
          <w:snapToGrid/>
          <w:kern w:val="0"/>
          <w:sz w:val="30"/>
          <w:szCs w:val="30"/>
          <w:lang w:val="en-US" w:eastAsia="zh-CN" w:bidi="ar-SA"/>
        </w:rPr>
        <w:t>原则</w:t>
      </w:r>
      <w:r>
        <w:rPr>
          <w:rFonts w:hint="eastAsia" w:ascii="宋体" w:hAnsi="宋体" w:eastAsia="仿宋_GB2312" w:cs="Times New Roman"/>
          <w:bCs/>
          <w:snapToGrid/>
          <w:kern w:val="0"/>
          <w:sz w:val="30"/>
          <w:szCs w:val="30"/>
          <w:lang w:val="en-US" w:eastAsia="zh-CN" w:bidi="ar-SA"/>
        </w:rPr>
        <w:t>上由行政村申报，按照申报程序提供必要的申报资料。</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1.村级申报。村两委、第一书记和驻村工作队通过民主决策程序，征求群众意见后，研究确定申报入库项目，以村委会名义报送镇人民政府。</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(1)村级项目申报入库报告包括行政村基本情况、项目申报理由、项目概况(含项目名称、建设内容、实施地点、投资概算、预期绩效目标、利益联结机制、实施期限、受益对象等)，并附项目具体位置示意图、项目申报入库统计表(包括项目名称、项目类型、建设性质、实施地点、责任单位、建设内容、投资概算、预期绩效目标、利益联结机制、实施期限和受益对象，具体见附件2)。</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(2)项目申报入库履行民主决策程序相关记录（村两委、第一书记和驻村工作队共同召开的两委会或村民代表大会会议记录、影像资料）。</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(3)项目申报入库公示资料(包括项目名称、项目类型、建设性质、实施地点、责任单位、建设内容、投资概算、预期绩效目标、利益联结机制、实施期限和受益对象)及公示场景影像资料。</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2.镇审核。镇召开党政联席会议对申报入库项目进行审核，根据会议审核意见，指导行政村调整完善，并经公示无异议后，以镇人民政府名义向示范区相关行业部门或乡村振兴局报送。</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(1)镇项目申报入库报告，并附镇项目申报入库汇总表(参照村级项目申报入库统计表)和项目绩效目标申报表(一项目一表，具体见附件3)。</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(2)项目实施方案(一项目一方案)。项目实施方案包括项目所在地基本情况、项目实施可行性和必要性、项目概况(含项目名称、项目类型、建设性质、建设内容、实施地点、责任单位、投资概算、预期绩效目标、利益联结机制、实施期限、受益对象等)、项目管理、组织保障等内容以及项目位置示意图。</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(3)镇党政联席会议审核项目的相关记录（会议记录或会议纪要、影像资料）。</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(4)镇审核后的项目公示资料及公示场景影像资料。</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(5)村级申报环节村委会提交的相关资料。</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3.示范区相关行业部门(乡村振兴局)论证。示范区相关行业部门(乡村振兴局)按照各自职责，根据镇项目申报入库报告，对项目实施方案进行研究论证，必要时可组织人员进行现场勘察，指导镇完善项目实施方案，并形成论证报告。</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(1)示范区相关行业部门项目论证报告，并附项目申报入库汇总表。示范区乡村振兴局牵头论证的，出具乡村振兴局项目论证报告，并附项目申报入库汇总表。</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(2)修改完善后的镇审核环节的全套资料。</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4.示范区审定。示范区乡村振兴局统一汇总衔接资金各任务支持的申报入库项目，对申报入库项目进行重点审核后，报示范区农村工作领导小组巩固拓展脱贫攻坚成果专班审批后，纳入巩固拓展脱贫攻坚成果和乡村振兴项目库。</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(1)示范区乡村振兴局重点审核申报入库项目意见建议(包括申报入库项目是否属于衔接资金支持范围，是否建立与脱贫人口和监测对象紧密关联的利益联结机制)。</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(2)示范区农村工作领导小组巩固拓展脱贫攻坚成果专班审批项目申报入库的会议纪要或批复文件。</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(3)审批后的巩固拓展脱贫攻坚成果和乡村振兴项目库在政府网站公告资料。</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(二)跨区域、规模化项目。</w:t>
      </w:r>
      <w:r>
        <w:rPr>
          <w:rFonts w:hint="eastAsia" w:ascii="宋体" w:hAnsi="宋体" w:eastAsia="仿宋_GB2312" w:cs="Times New Roman"/>
          <w:bCs/>
          <w:snapToGrid/>
          <w:kern w:val="0"/>
          <w:sz w:val="30"/>
          <w:szCs w:val="30"/>
          <w:lang w:val="en-US" w:eastAsia="zh-CN" w:bidi="ar-SA"/>
        </w:rPr>
        <w:t>可由镇人民政府或示范区相关行业部门进行申报，按照申报程序提供必要的申报资料。</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1.镇申报。镇召开党政联席会议研究确定申报入库项目，充分征求项目所在行政村及受益行政村意见建议，履行公示程序后，按照项目分类所属责任单位向示范区相关行业部门或乡村振兴局报送项目申报入库报告和项目实施方案。</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(1)镇项目申报入库报告，并附镇项目申报入库汇总表和项目绩效目标申报表(一项目一表)。</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(2)项目实施方案(一项目一方案)。项目实施方案包括项目所在地基本情况、项目实施可行性和必要性、项目概况(含项目名称、项目类型、建设性质、建设内容、实施地点、责任单位、投资概算、预期绩效目标、利益联结机制、实施期限、受益对象等)、项目管理、组织保障等内容以及项目位置示意图。</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spacing w:val="-6"/>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(3)征求项目所在行政村及受益行政村意见建议相关资料（村两</w:t>
      </w:r>
      <w:r>
        <w:rPr>
          <w:rFonts w:hint="eastAsia" w:ascii="宋体" w:hAnsi="宋体" w:eastAsia="仿宋_GB2312" w:cs="Times New Roman"/>
          <w:bCs/>
          <w:snapToGrid/>
          <w:spacing w:val="-6"/>
          <w:kern w:val="0"/>
          <w:sz w:val="30"/>
          <w:szCs w:val="30"/>
          <w:lang w:val="en-US" w:eastAsia="zh-CN" w:bidi="ar-SA"/>
        </w:rPr>
        <w:t>委、第一书记和驻村工作队共同商讨的两委会会议记录、影像资料）。</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(4)在项目所在行政村及受益行政村公示资料及公示场景影像资料。</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示范区相关行业部门(乡村振兴局)论证及示范区审定环节与到村到户项目一致。</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2.示范区相关行业部门申报。示范区相关行业部门依据相关规划，在进行可行性和必要性论证的前提下，研究确定申报项目，征求项目所在镇和相关行政村意见建议，履行公示程序后，将项目申报入库报告和项目实施方案报送示范区乡村振兴局。</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(1)示范区相关行业部门项目申报入库报告，并附项目申报入库汇总表和项目绩效目标申报表(一项目一表)。</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(2)项目实施方案(一项目一方案)。项目实施方案包括项目所在地基本情况、项目实施可行性和必要性、项目概况(含项目名称、项目类型、建设性质、建设内容、实施地点、责任单位、投资概算、预期绩效目标、利益联结机制、实施期限、受益对象等)、项目管理、组织保障等内容以及项目位置示意图。</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(3)征求项目所在镇和相关行政村意见建议相关资料（村两委、第一书记和驻村工作队共同商讨的两委会会议记录、影像资料，镇党政联席会议审核项目的会议记录、影像资料）。</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(4)在项目所在镇和相关行政村公示资料及公示场景影像资料。</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示范区审定环节与到村到户项目一致。</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(三)因疫情、灾情等突发事件影响急需实施的项目。</w:t>
      </w:r>
      <w:r>
        <w:rPr>
          <w:rFonts w:hint="eastAsia" w:ascii="宋体" w:hAnsi="宋体" w:eastAsia="仿宋_GB2312" w:cs="Times New Roman"/>
          <w:bCs/>
          <w:snapToGrid/>
          <w:kern w:val="0"/>
          <w:sz w:val="30"/>
          <w:szCs w:val="30"/>
          <w:lang w:val="en-US" w:eastAsia="zh-CN" w:bidi="ar-SA"/>
        </w:rPr>
        <w:t>可由示范区相关行业部门或乡村振兴局在充分评估疫情、灾情等突发事件对巩固拓展脱贫攻坚成果带来不利影响的前提下，直接进行项目申报。申报材料包括项目申报入库报告和项目实施方案。</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(四)雨露计划、小额信贷贴息等补助补贴项目。</w:t>
      </w:r>
      <w:r>
        <w:rPr>
          <w:rFonts w:hint="eastAsia" w:ascii="宋体" w:hAnsi="宋体" w:eastAsia="仿宋_GB2312" w:cs="Times New Roman"/>
          <w:bCs/>
          <w:snapToGrid/>
          <w:kern w:val="0"/>
          <w:sz w:val="30"/>
          <w:szCs w:val="30"/>
          <w:lang w:val="en-US" w:eastAsia="zh-CN" w:bidi="ar-SA"/>
        </w:rPr>
        <w:t>可由示范区乡村振兴局或相关行业部门进行项目申报。申报材料包括项目申报入库报告和项目实施方案。</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黑体" w:cs="黑体"/>
          <w:bCs/>
          <w:snapToGrid/>
          <w:kern w:val="0"/>
          <w:sz w:val="30"/>
          <w:szCs w:val="30"/>
          <w:lang w:val="en-US" w:eastAsia="zh-CN" w:bidi="ar-SA"/>
        </w:rPr>
      </w:pPr>
      <w:r>
        <w:rPr>
          <w:rFonts w:hint="eastAsia" w:ascii="宋体" w:hAnsi="宋体" w:eastAsia="黑体" w:cs="黑体"/>
          <w:bCs/>
          <w:snapToGrid/>
          <w:kern w:val="0"/>
          <w:sz w:val="30"/>
          <w:szCs w:val="30"/>
          <w:lang w:val="en-US" w:eastAsia="zh-CN" w:bidi="ar-SA"/>
        </w:rPr>
        <w:t>五、工作要求</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(一)明确责任。</w:t>
      </w:r>
      <w:r>
        <w:rPr>
          <w:rFonts w:hint="eastAsia" w:ascii="宋体" w:hAnsi="宋体" w:eastAsia="仿宋_GB2312" w:cs="Times New Roman"/>
          <w:bCs/>
          <w:snapToGrid/>
          <w:kern w:val="0"/>
          <w:sz w:val="30"/>
          <w:szCs w:val="30"/>
          <w:lang w:val="en-US" w:eastAsia="zh-CN" w:bidi="ar-SA"/>
        </w:rPr>
        <w:t>示范区乡村振兴局负责组织开展衔接资金(巩固拓展任务)项目申报入库工作，编制项目入库指南，牵头做好巩固拓展脱贫攻坚成果和乡村振兴项目库建设，配合项目部门谋划好项目，推动实现示范区相关项目库共建共管共用；各行业部门要尽职履责，牵头做好本行业申报项目的论证工作，并结合本行业发展规划，积极谋划项目，申报项目；各镇要切实承担本镇衔接资金项目申报入库工作的主体责任，对辖区内村庄的产业发展、基础设施、公共服务等方面进行摸底，依据示范区产业发展规划和本镇各项发展规划，指导各行政村、驻村第一书记和驻村工作队谋划项目、申报项目，并对申报入库项目开展审核。</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（二）精准筛选。</w:t>
      </w:r>
      <w:r>
        <w:rPr>
          <w:rFonts w:hint="eastAsia" w:ascii="宋体" w:hAnsi="宋体" w:eastAsia="仿宋_GB2312" w:cs="Times New Roman"/>
          <w:bCs/>
          <w:snapToGrid/>
          <w:kern w:val="0"/>
          <w:sz w:val="30"/>
          <w:szCs w:val="30"/>
          <w:lang w:val="en-US" w:eastAsia="zh-CN" w:bidi="ar-SA"/>
        </w:rPr>
        <w:t>各镇、相关行业主管部门要综合考虑并结合实际，按照国家、省级和示范区关于衔接资金使用方向的相关政策规定科学策划、规划项目，精准确定申报项目，严禁申报涉及负面清单项目。已有财政性项目资金来源、渠道或已安排财政性资金的项目不得重复申报衔接资金,项目不得入库。</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(三)绩效管理。</w:t>
      </w:r>
      <w:r>
        <w:rPr>
          <w:rFonts w:hint="eastAsia" w:ascii="宋体" w:hAnsi="宋体" w:eastAsia="仿宋_GB2312" w:cs="Times New Roman"/>
          <w:bCs/>
          <w:snapToGrid/>
          <w:kern w:val="0"/>
          <w:sz w:val="30"/>
          <w:szCs w:val="30"/>
          <w:lang w:val="en-US" w:eastAsia="zh-CN" w:bidi="ar-SA"/>
        </w:rPr>
        <w:t>衔接资金(巩固拓展任务)项目申报入库工作全面实施绩效管理，要严格按照财政衔接推进乡村振兴补助资金(巩固拓展脱贫成果和乡村振兴任务)支持项目绩效目标申报表要求，清晰、准确地量化各项指标，无明确绩效目标的项目不得入库。对项目库实施动态管理，纳入项目库的项目要根据巩固脱贫攻坚成果和乡村振兴工作需求、政策调整等情况适时调整，做到有进有出。</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（四）加强应用。</w:t>
      </w:r>
      <w:r>
        <w:rPr>
          <w:rFonts w:hint="eastAsia" w:ascii="宋体" w:hAnsi="宋体" w:eastAsia="仿宋_GB2312" w:cs="Times New Roman"/>
          <w:bCs/>
          <w:snapToGrid/>
          <w:kern w:val="0"/>
          <w:sz w:val="30"/>
          <w:szCs w:val="30"/>
          <w:lang w:val="en-US" w:eastAsia="zh-CN" w:bidi="ar-SA"/>
        </w:rPr>
        <w:t>从项目库中选择的项目，要严格按照申报内容实施，在明确的实施期限内完成，确保项目建设真实，确需变更的要按规定履行审批程序。各相关行业主管部门要抓好项目实施工作跟踪督促和质量监督，推动项目按计划如期实施，完成后及时做好项目验收报账工作，确保资金支出真实。未入项目库的项目不得使用衔接资金实施。</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楷体_GB2312" w:cs="楷体_GB2312"/>
          <w:bCs/>
          <w:snapToGrid/>
          <w:kern w:val="0"/>
          <w:sz w:val="30"/>
          <w:szCs w:val="30"/>
          <w:lang w:val="en-US" w:eastAsia="zh-CN" w:bidi="ar-SA"/>
        </w:rPr>
        <w:t>(五)扎实推进。</w:t>
      </w:r>
      <w:r>
        <w:rPr>
          <w:rFonts w:hint="eastAsia" w:ascii="宋体" w:hAnsi="宋体" w:eastAsia="仿宋_GB2312" w:cs="Times New Roman"/>
          <w:bCs/>
          <w:snapToGrid/>
          <w:kern w:val="0"/>
          <w:sz w:val="30"/>
          <w:szCs w:val="30"/>
          <w:lang w:val="en-US" w:eastAsia="zh-CN" w:bidi="ar-SA"/>
        </w:rPr>
        <w:t>7月底全面启动示范区2023年至2025年衔接资金(巩固拓展任务)项目申报入库工作，按照成熟一批，纳入一批的要求，提前谋划一批项目纳入项目库，为提前做好2023年项目建设奠定基础。最迟11月底前完成项目库建设全部程序，12月底前完成项目申报入库信息系统录入工作，为建立完善三年巩固拓展脱贫攻坚成果和乡村振兴项目库提供基础。</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firstLine="600" w:firstLineChars="200"/>
        <w:jc w:val="both"/>
        <w:textAlignment w:val="auto"/>
        <w:rPr>
          <w:rFonts w:hint="eastAsia" w:ascii="宋体" w:hAnsi="宋体" w:eastAsia="仿宋_GB2312" w:cs="Times New Roman"/>
          <w:bCs/>
          <w:snapToGrid/>
          <w:kern w:val="0"/>
          <w:sz w:val="30"/>
          <w:szCs w:val="30"/>
          <w:lang w:val="en-US" w:eastAsia="zh-CN" w:bidi="ar-SA"/>
        </w:rPr>
      </w:pP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left="1796" w:leftChars="284" w:hanging="1200" w:hangingChars="4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附件: 1.财政衔接推进乡村振兴补助资金(巩固拓展脱贫成果</w:t>
      </w:r>
    </w:p>
    <w:p>
      <w:pPr>
        <w:keepNext w:val="0"/>
        <w:keepLines w:val="0"/>
        <w:pageBreakBefore w:val="0"/>
        <w:widowControl w:val="0"/>
        <w:shd w:val="clear" w:color="auto" w:fill="FFFFFF"/>
        <w:kinsoku w:val="0"/>
        <w:wordWrap/>
        <w:overflowPunct/>
        <w:topLinePunct w:val="0"/>
        <w:autoSpaceDE/>
        <w:autoSpaceDN/>
        <w:bidi w:val="0"/>
        <w:adjustRightInd/>
        <w:snapToGrid/>
        <w:spacing w:line="600" w:lineRule="exact"/>
        <w:ind w:left="1789" w:leftChars="852" w:firstLine="0" w:firstLineChars="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和乡村振兴任务)支持项目分类表(暂行)</w:t>
      </w:r>
    </w:p>
    <w:p>
      <w:pPr>
        <w:keepNext w:val="0"/>
        <w:keepLines w:val="0"/>
        <w:pageBreakBefore w:val="0"/>
        <w:widowControl w:val="0"/>
        <w:numPr>
          <w:ilvl w:val="0"/>
          <w:numId w:val="1"/>
        </w:numPr>
        <w:shd w:val="clear" w:color="auto" w:fill="FFFFFF"/>
        <w:kinsoku w:val="0"/>
        <w:wordWrap/>
        <w:overflowPunct/>
        <w:topLinePunct w:val="0"/>
        <w:autoSpaceDE/>
        <w:autoSpaceDN/>
        <w:bidi w:val="0"/>
        <w:adjustRightInd/>
        <w:snapToGrid/>
        <w:spacing w:line="600" w:lineRule="exact"/>
        <w:ind w:left="1791" w:leftChars="710" w:hanging="300" w:hangingChars="1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财政衔接推进乡村振兴补助资金(巩固拓展脱贫成果和乡村振兴任务)项目申报入库统计表</w:t>
      </w:r>
    </w:p>
    <w:p>
      <w:pPr>
        <w:keepNext w:val="0"/>
        <w:keepLines w:val="0"/>
        <w:pageBreakBefore w:val="0"/>
        <w:widowControl w:val="0"/>
        <w:numPr>
          <w:ilvl w:val="0"/>
          <w:numId w:val="1"/>
        </w:numPr>
        <w:shd w:val="clear" w:color="auto" w:fill="FFFFFF"/>
        <w:kinsoku w:val="0"/>
        <w:wordWrap/>
        <w:overflowPunct/>
        <w:topLinePunct w:val="0"/>
        <w:autoSpaceDE/>
        <w:autoSpaceDN/>
        <w:bidi w:val="0"/>
        <w:adjustRightInd/>
        <w:snapToGrid/>
        <w:spacing w:line="600" w:lineRule="exact"/>
        <w:ind w:left="1791" w:leftChars="710" w:hanging="300" w:hangingChars="100"/>
        <w:jc w:val="both"/>
        <w:textAlignment w:val="auto"/>
        <w:rPr>
          <w:rFonts w:hint="eastAsia" w:ascii="宋体" w:hAnsi="宋体" w:eastAsia="仿宋_GB2312" w:cs="Times New Roman"/>
          <w:bCs/>
          <w:snapToGrid/>
          <w:kern w:val="0"/>
          <w:sz w:val="30"/>
          <w:szCs w:val="30"/>
          <w:lang w:val="en-US" w:eastAsia="zh-CN" w:bidi="ar-SA"/>
        </w:rPr>
      </w:pPr>
      <w:r>
        <w:rPr>
          <w:rFonts w:hint="eastAsia" w:ascii="宋体" w:hAnsi="宋体" w:eastAsia="仿宋_GB2312" w:cs="Times New Roman"/>
          <w:bCs/>
          <w:snapToGrid/>
          <w:kern w:val="0"/>
          <w:sz w:val="30"/>
          <w:szCs w:val="30"/>
          <w:lang w:val="en-US" w:eastAsia="zh-CN" w:bidi="ar-SA"/>
        </w:rPr>
        <w:t>财政衔接推进乡村振兴补助资金(巩固拓展脱贫成果和乡村振兴任务)支持项目绩效目标申报表(202X年)</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宋体" w:hAnsi="宋体" w:eastAsia="黑体" w:cs="黑体"/>
          <w:spacing w:val="-10"/>
          <w:sz w:val="30"/>
          <w:szCs w:val="30"/>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宋体" w:hAnsi="宋体" w:eastAsia="黑体" w:cs="黑体"/>
          <w:spacing w:val="-10"/>
          <w:sz w:val="30"/>
          <w:szCs w:val="30"/>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宋体" w:hAnsi="宋体" w:eastAsia="黑体" w:cs="黑体"/>
          <w:spacing w:val="-10"/>
          <w:sz w:val="30"/>
          <w:szCs w:val="30"/>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宋体" w:hAnsi="宋体" w:eastAsia="黑体" w:cs="黑体"/>
          <w:spacing w:val="-10"/>
          <w:sz w:val="30"/>
          <w:szCs w:val="30"/>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宋体" w:hAnsi="宋体" w:eastAsia="黑体" w:cs="黑体"/>
          <w:spacing w:val="-10"/>
          <w:sz w:val="30"/>
          <w:szCs w:val="30"/>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宋体" w:hAnsi="宋体" w:eastAsia="黑体" w:cs="黑体"/>
          <w:spacing w:val="-10"/>
          <w:sz w:val="30"/>
          <w:szCs w:val="30"/>
        </w:rPr>
      </w:pPr>
      <w:r>
        <w:rPr>
          <w:rFonts w:hint="eastAsia" w:ascii="宋体" w:hAnsi="宋体" w:eastAsia="黑体" w:cs="黑体"/>
          <w:spacing w:val="-10"/>
          <w:sz w:val="30"/>
          <w:szCs w:val="30"/>
        </w:rPr>
        <w:t>附件1</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方正小标宋简体" w:cs="方正小标宋简体"/>
          <w:spacing w:val="-10"/>
          <w:sz w:val="36"/>
          <w:szCs w:val="36"/>
        </w:rPr>
      </w:pPr>
      <w:r>
        <w:rPr>
          <w:rFonts w:hint="eastAsia" w:ascii="宋体" w:hAnsi="宋体" w:eastAsia="方正小标宋简体" w:cs="方正小标宋简体"/>
          <w:spacing w:val="-10"/>
          <w:sz w:val="36"/>
          <w:szCs w:val="36"/>
        </w:rPr>
        <w:t>财政衔接推进乡村振兴补助资金(巩固拓展脱贫成果和</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宋体" w:hAnsi="宋体" w:eastAsia="方正小标宋简体" w:cs="方正小标宋简体"/>
          <w:spacing w:val="-10"/>
          <w:sz w:val="36"/>
          <w:szCs w:val="36"/>
          <w:lang w:val="en-US" w:eastAsia="zh-CN"/>
        </w:rPr>
      </w:pPr>
      <w:r>
        <w:rPr>
          <w:rFonts w:hint="eastAsia" w:ascii="宋体" w:hAnsi="宋体" w:eastAsia="方正小标宋简体" w:cs="方正小标宋简体"/>
          <w:spacing w:val="-10"/>
          <w:sz w:val="36"/>
          <w:szCs w:val="36"/>
        </w:rPr>
        <w:t>乡村振兴任务)支持项目分类表(暂</w:t>
      </w:r>
      <w:r>
        <w:rPr>
          <w:rFonts w:hint="eastAsia" w:ascii="宋体" w:hAnsi="宋体" w:eastAsia="方正小标宋简体" w:cs="方正小标宋简体"/>
          <w:spacing w:val="-10"/>
          <w:sz w:val="36"/>
          <w:szCs w:val="36"/>
          <w:lang w:val="en-US" w:eastAsia="zh-CN"/>
        </w:rPr>
        <w:t>行）</w:t>
      </w:r>
    </w:p>
    <w:tbl>
      <w:tblPr>
        <w:tblStyle w:val="1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3"/>
        <w:gridCol w:w="2158"/>
        <w:gridCol w:w="5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137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04"/>
              <w:jc w:val="center"/>
              <w:textAlignment w:val="auto"/>
              <w:rPr>
                <w:rFonts w:hint="eastAsia" w:ascii="宋体" w:hAnsi="宋体" w:eastAsia="黑体" w:cs="黑体"/>
                <w:sz w:val="24"/>
                <w:szCs w:val="24"/>
              </w:rPr>
            </w:pPr>
            <w:r>
              <w:rPr>
                <w:rFonts w:hint="eastAsia" w:ascii="宋体" w:hAnsi="宋体" w:eastAsia="黑体" w:cs="黑体"/>
                <w:spacing w:val="3"/>
                <w:sz w:val="24"/>
                <w:szCs w:val="24"/>
              </w:rPr>
              <w:t>项目类型</w:t>
            </w:r>
          </w:p>
        </w:tc>
        <w:tc>
          <w:tcPr>
            <w:tcW w:w="20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1"/>
              <w:jc w:val="center"/>
              <w:textAlignment w:val="auto"/>
              <w:rPr>
                <w:rFonts w:hint="eastAsia" w:ascii="宋体" w:hAnsi="宋体" w:eastAsia="黑体" w:cs="黑体"/>
                <w:sz w:val="24"/>
                <w:szCs w:val="24"/>
              </w:rPr>
            </w:pPr>
            <w:r>
              <w:rPr>
                <w:rFonts w:hint="eastAsia" w:ascii="宋体" w:hAnsi="宋体" w:eastAsia="黑体" w:cs="黑体"/>
                <w:spacing w:val="2"/>
                <w:sz w:val="24"/>
                <w:szCs w:val="24"/>
              </w:rPr>
              <w:t>二级项目类型</w:t>
            </w: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center"/>
              <w:textAlignment w:val="auto"/>
              <w:rPr>
                <w:rFonts w:hint="eastAsia" w:ascii="宋体" w:hAnsi="宋体" w:eastAsia="黑体" w:cs="黑体"/>
                <w:sz w:val="24"/>
                <w:szCs w:val="24"/>
              </w:rPr>
            </w:pPr>
            <w:r>
              <w:rPr>
                <w:rFonts w:hint="eastAsia" w:ascii="宋体" w:hAnsi="宋体" w:eastAsia="黑体" w:cs="黑体"/>
                <w:spacing w:val="2"/>
                <w:sz w:val="24"/>
                <w:szCs w:val="24"/>
              </w:rPr>
              <w:t>项目子类型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产业发展</w:t>
            </w:r>
          </w:p>
        </w:tc>
        <w:tc>
          <w:tcPr>
            <w:tcW w:w="20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r>
              <w:rPr>
                <w:rFonts w:hint="eastAsia" w:ascii="宋体" w:hAnsi="宋体" w:eastAsia="仿宋_GB2312" w:cs="仿宋_GB2312"/>
                <w:spacing w:val="10"/>
                <w:sz w:val="24"/>
                <w:szCs w:val="24"/>
              </w:rPr>
              <w:t>生产项目</w:t>
            </w: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种植业基地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养殖业基地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水产养殖业发展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林草基地建设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休闲农业与乡村旅游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光伏电站建设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r>
              <w:rPr>
                <w:rFonts w:hint="eastAsia" w:ascii="宋体" w:hAnsi="宋体" w:eastAsia="仿宋_GB2312" w:cs="仿宋_GB2312"/>
                <w:spacing w:val="6"/>
                <w:sz w:val="24"/>
                <w:szCs w:val="24"/>
              </w:rPr>
              <w:t>加工流通项目</w:t>
            </w: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农产品仓储保鲜冷链基础设施建设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加工业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市场建设和农村物流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品牌打造和展销平台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r>
              <w:rPr>
                <w:rFonts w:hint="eastAsia" w:ascii="宋体" w:hAnsi="宋体" w:eastAsia="仿宋_GB2312" w:cs="仿宋_GB2312"/>
                <w:spacing w:val="6"/>
                <w:sz w:val="24"/>
                <w:szCs w:val="24"/>
              </w:rPr>
              <w:t>配套设施项目</w:t>
            </w: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z w:val="24"/>
                <w:szCs w:val="24"/>
              </w:rPr>
              <w:t>小型农田水利设施建设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7"/>
                <w:sz w:val="24"/>
                <w:szCs w:val="24"/>
              </w:rPr>
              <w:t>产业园(区)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r>
              <w:rPr>
                <w:rFonts w:hint="eastAsia" w:ascii="宋体" w:hAnsi="宋体" w:eastAsia="仿宋_GB2312" w:cs="仿宋_GB2312"/>
                <w:spacing w:val="3"/>
                <w:sz w:val="24"/>
                <w:szCs w:val="24"/>
              </w:rPr>
              <w:t>产业服务支撑项目</w:t>
            </w: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智慧农业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科技服务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人才培养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农业社会化服务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r>
              <w:rPr>
                <w:rFonts w:hint="eastAsia" w:ascii="宋体" w:hAnsi="宋体" w:eastAsia="仿宋_GB2312" w:cs="仿宋_GB2312"/>
                <w:spacing w:val="4"/>
                <w:sz w:val="24"/>
                <w:szCs w:val="24"/>
              </w:rPr>
              <w:t>金融保险配套项目</w:t>
            </w: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小额贷款贴息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小额信贷风险补偿金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特色产业保险保费补助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新型经营主体贷款贴息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73"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20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sz w:val="24"/>
                <w:szCs w:val="24"/>
              </w:rPr>
            </w:pPr>
          </w:p>
        </w:tc>
        <w:tc>
          <w:tcPr>
            <w:tcW w:w="4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4"/>
              <w:jc w:val="left"/>
              <w:textAlignment w:val="auto"/>
              <w:rPr>
                <w:rFonts w:hint="eastAsia" w:ascii="宋体" w:hAnsi="宋体" w:eastAsia="仿宋_GB2312" w:cs="仿宋_GB2312"/>
                <w:sz w:val="24"/>
                <w:szCs w:val="24"/>
              </w:rPr>
            </w:pPr>
            <w:r>
              <w:rPr>
                <w:rFonts w:hint="eastAsia" w:ascii="宋体" w:hAnsi="宋体" w:eastAsia="仿宋_GB2312" w:cs="仿宋_GB2312"/>
                <w:spacing w:val="-3"/>
                <w:sz w:val="24"/>
                <w:szCs w:val="24"/>
              </w:rPr>
              <w:t>其他</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宋体" w:hAnsi="宋体"/>
          <w:lang w:val="en-US" w:eastAsia="zh-CN"/>
        </w:rPr>
      </w:pPr>
    </w:p>
    <w:tbl>
      <w:tblPr>
        <w:tblStyle w:val="15"/>
        <w:tblW w:w="87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5"/>
        <w:gridCol w:w="2131"/>
        <w:gridCol w:w="5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104" w:firstLineChars="0"/>
              <w:jc w:val="center"/>
              <w:textAlignment w:val="auto"/>
              <w:rPr>
                <w:rFonts w:hint="eastAsia" w:ascii="宋体" w:hAnsi="宋体" w:eastAsia="黑体" w:cs="黑体"/>
                <w:spacing w:val="-3"/>
                <w:sz w:val="24"/>
                <w:szCs w:val="24"/>
              </w:rPr>
            </w:pPr>
            <w:r>
              <w:rPr>
                <w:rFonts w:hint="eastAsia" w:ascii="宋体" w:hAnsi="宋体" w:eastAsia="黑体" w:cs="黑体"/>
                <w:spacing w:val="3"/>
                <w:sz w:val="24"/>
                <w:szCs w:val="24"/>
              </w:rPr>
              <w:t>项目类型</w:t>
            </w:r>
          </w:p>
        </w:tc>
        <w:tc>
          <w:tcPr>
            <w:tcW w:w="2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111" w:firstLineChars="0"/>
              <w:jc w:val="center"/>
              <w:textAlignment w:val="auto"/>
              <w:rPr>
                <w:rFonts w:hint="eastAsia" w:ascii="宋体" w:hAnsi="宋体" w:eastAsia="黑体" w:cs="黑体"/>
                <w:spacing w:val="3"/>
                <w:sz w:val="24"/>
                <w:szCs w:val="24"/>
              </w:rPr>
            </w:pPr>
            <w:r>
              <w:rPr>
                <w:rFonts w:hint="eastAsia" w:ascii="宋体" w:hAnsi="宋体" w:eastAsia="黑体" w:cs="黑体"/>
                <w:spacing w:val="2"/>
                <w:sz w:val="24"/>
                <w:szCs w:val="24"/>
              </w:rPr>
              <w:t>二级项目类型</w:t>
            </w:r>
          </w:p>
        </w:tc>
        <w:tc>
          <w:tcPr>
            <w:tcW w:w="51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114" w:firstLineChars="0"/>
              <w:jc w:val="center"/>
              <w:textAlignment w:val="auto"/>
              <w:rPr>
                <w:rFonts w:hint="eastAsia" w:ascii="宋体" w:hAnsi="宋体" w:eastAsia="黑体" w:cs="黑体"/>
                <w:spacing w:val="-3"/>
                <w:sz w:val="24"/>
                <w:szCs w:val="24"/>
              </w:rPr>
            </w:pPr>
            <w:r>
              <w:rPr>
                <w:rFonts w:hint="eastAsia" w:ascii="宋体" w:hAnsi="宋体" w:eastAsia="黑体" w:cs="黑体"/>
                <w:spacing w:val="2"/>
                <w:sz w:val="24"/>
                <w:szCs w:val="24"/>
              </w:rPr>
              <w:t>项目子类型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restart"/>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仿宋_GB2312" w:cs="仿宋_GB2312"/>
                <w:sz w:val="24"/>
                <w:szCs w:val="24"/>
              </w:rPr>
            </w:pPr>
            <w:r>
              <w:rPr>
                <w:rFonts w:hint="eastAsia" w:ascii="宋体" w:hAnsi="宋体" w:eastAsia="仿宋_GB2312" w:cs="仿宋_GB2312"/>
                <w:spacing w:val="-3"/>
                <w:sz w:val="24"/>
                <w:szCs w:val="24"/>
              </w:rPr>
              <w:t>就业创业</w:t>
            </w:r>
          </w:p>
        </w:tc>
        <w:tc>
          <w:tcPr>
            <w:tcW w:w="2131" w:type="dxa"/>
            <w:vMerge w:val="restart"/>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仿宋_GB2312" w:cs="仿宋_GB2312"/>
                <w:sz w:val="24"/>
                <w:szCs w:val="24"/>
              </w:rPr>
            </w:pPr>
            <w:r>
              <w:rPr>
                <w:rFonts w:hint="eastAsia" w:ascii="宋体" w:hAnsi="宋体" w:eastAsia="仿宋_GB2312" w:cs="仿宋_GB2312"/>
                <w:spacing w:val="3"/>
                <w:sz w:val="24"/>
                <w:szCs w:val="24"/>
              </w:rPr>
              <w:t>务工补助</w:t>
            </w:r>
          </w:p>
        </w:tc>
        <w:tc>
          <w:tcPr>
            <w:tcW w:w="5192" w:type="dxa"/>
            <w:tcBorders>
              <w:top w:val="single" w:color="auto" w:sz="4"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3"/>
                <w:sz w:val="24"/>
                <w:szCs w:val="24"/>
              </w:rPr>
              <w:t>交通费补助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生产奖补、劳务补助等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仿宋_GB2312" w:cs="仿宋_GB2312"/>
                <w:sz w:val="24"/>
                <w:szCs w:val="24"/>
              </w:rPr>
            </w:pPr>
            <w:r>
              <w:rPr>
                <w:rFonts w:hint="eastAsia" w:ascii="宋体" w:hAnsi="宋体" w:eastAsia="仿宋_GB2312" w:cs="仿宋_GB2312"/>
                <w:spacing w:val="-3"/>
                <w:sz w:val="24"/>
                <w:szCs w:val="24"/>
              </w:rPr>
              <w:t>就业</w:t>
            </w: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4"/>
                <w:sz w:val="24"/>
                <w:szCs w:val="24"/>
              </w:rPr>
              <w:t>帮扶车间(特色手工基地)建设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6"/>
                <w:sz w:val="24"/>
                <w:szCs w:val="24"/>
              </w:rPr>
              <w:t>技能培训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6"/>
                <w:sz w:val="24"/>
                <w:szCs w:val="24"/>
              </w:rPr>
              <w:t>以工代训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仿宋_GB2312" w:cs="仿宋_GB2312"/>
                <w:sz w:val="24"/>
                <w:szCs w:val="24"/>
              </w:rPr>
            </w:pPr>
            <w:r>
              <w:rPr>
                <w:rFonts w:hint="eastAsia" w:ascii="宋体" w:hAnsi="宋体" w:eastAsia="仿宋_GB2312" w:cs="仿宋_GB2312"/>
                <w:spacing w:val="4"/>
                <w:sz w:val="24"/>
                <w:szCs w:val="24"/>
              </w:rPr>
              <w:t>乡村工匠</w:t>
            </w: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3"/>
                <w:sz w:val="24"/>
                <w:szCs w:val="24"/>
              </w:rPr>
              <w:t>乡村工匠培育培训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乡村工匠大师工作室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乡村工匠传习所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112"/>
              <w:jc w:val="center"/>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公益性岗位</w:t>
            </w: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公益性岗位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112"/>
              <w:jc w:val="center"/>
              <w:textAlignment w:val="auto"/>
              <w:rPr>
                <w:rFonts w:hint="eastAsia" w:ascii="宋体" w:hAnsi="宋体" w:eastAsia="仿宋_GB2312" w:cs="仿宋_GB2312"/>
                <w:sz w:val="24"/>
                <w:szCs w:val="24"/>
              </w:rPr>
            </w:pPr>
            <w:r>
              <w:rPr>
                <w:rFonts w:hint="eastAsia" w:ascii="宋体" w:hAnsi="宋体" w:eastAsia="仿宋_GB2312" w:cs="仿宋_GB2312"/>
                <w:spacing w:val="12"/>
                <w:sz w:val="24"/>
                <w:szCs w:val="24"/>
              </w:rPr>
              <w:t>培训</w:t>
            </w: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4"/>
                <w:sz w:val="24"/>
                <w:szCs w:val="24"/>
              </w:rPr>
              <w:t>享受"雨露计划"职业教育补助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易地扶贫搬</w:t>
            </w:r>
            <w:r>
              <w:rPr>
                <w:rFonts w:hint="eastAsia" w:ascii="宋体" w:hAnsi="宋体" w:eastAsia="仿宋_GB2312" w:cs="仿宋_GB2312"/>
                <w:spacing w:val="4"/>
                <w:sz w:val="24"/>
                <w:szCs w:val="24"/>
              </w:rPr>
              <w:t xml:space="preserve"> </w:t>
            </w:r>
            <w:r>
              <w:rPr>
                <w:rFonts w:hint="eastAsia" w:ascii="宋体" w:hAnsi="宋体" w:eastAsia="仿宋_GB2312" w:cs="仿宋_GB2312"/>
                <w:spacing w:val="-2"/>
                <w:sz w:val="24"/>
                <w:szCs w:val="24"/>
              </w:rPr>
              <w:t>迁后续扶持</w:t>
            </w:r>
          </w:p>
        </w:tc>
        <w:tc>
          <w:tcPr>
            <w:tcW w:w="2131"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仿宋_GB2312" w:cs="仿宋_GB2312"/>
                <w:sz w:val="24"/>
                <w:szCs w:val="24"/>
              </w:rPr>
            </w:pPr>
            <w:r>
              <w:rPr>
                <w:rFonts w:hint="eastAsia" w:ascii="宋体" w:hAnsi="宋体" w:eastAsia="仿宋_GB2312" w:cs="仿宋_GB2312"/>
                <w:spacing w:val="1"/>
                <w:position w:val="5"/>
                <w:sz w:val="24"/>
                <w:szCs w:val="24"/>
              </w:rPr>
              <w:t>易地扶贫搬迁</w:t>
            </w:r>
          </w:p>
          <w:p>
            <w:pPr>
              <w:keepNext w:val="0"/>
              <w:keepLines w:val="0"/>
              <w:pageBreakBefore w:val="0"/>
              <w:widowControl w:val="0"/>
              <w:kinsoku/>
              <w:wordWrap/>
              <w:overflowPunct/>
              <w:topLinePunct w:val="0"/>
              <w:autoSpaceDE/>
              <w:autoSpaceDN/>
              <w:bidi w:val="0"/>
              <w:adjustRightInd/>
              <w:snapToGrid/>
              <w:spacing w:line="320" w:lineRule="exact"/>
              <w:ind w:left="0" w:right="0" w:firstLine="112"/>
              <w:jc w:val="center"/>
              <w:textAlignment w:val="auto"/>
              <w:rPr>
                <w:rFonts w:hint="eastAsia" w:ascii="宋体" w:hAnsi="宋体" w:eastAsia="仿宋_GB2312" w:cs="仿宋_GB2312"/>
                <w:sz w:val="24"/>
                <w:szCs w:val="24"/>
              </w:rPr>
            </w:pPr>
            <w:r>
              <w:rPr>
                <w:rFonts w:hint="eastAsia" w:ascii="宋体" w:hAnsi="宋体" w:eastAsia="仿宋_GB2312" w:cs="仿宋_GB2312"/>
                <w:spacing w:val="-3"/>
                <w:sz w:val="24"/>
                <w:szCs w:val="24"/>
              </w:rPr>
              <w:t>后续扶持</w:t>
            </w: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公共服务岗位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z w:val="24"/>
                <w:szCs w:val="24"/>
              </w:rPr>
              <w:t>"一站式"社区综合服务设施建设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易地扶贫搬迁贷款债券贴息补助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乡村建设</w:t>
            </w:r>
          </w:p>
          <w:p>
            <w:pPr>
              <w:keepNext w:val="0"/>
              <w:keepLines w:val="0"/>
              <w:pageBreakBefore w:val="0"/>
              <w:widowControl w:val="0"/>
              <w:kinsoku/>
              <w:wordWrap/>
              <w:overflowPunct/>
              <w:topLinePunct w:val="0"/>
              <w:autoSpaceDE/>
              <w:autoSpaceDN/>
              <w:bidi w:val="0"/>
              <w:adjustRightInd/>
              <w:snapToGrid/>
              <w:spacing w:line="320" w:lineRule="exact"/>
              <w:ind w:left="0" w:right="0" w:firstLine="105"/>
              <w:jc w:val="center"/>
              <w:textAlignment w:val="auto"/>
              <w:rPr>
                <w:rFonts w:hint="eastAsia" w:ascii="宋体" w:hAnsi="宋体" w:eastAsia="仿宋_GB2312" w:cs="仿宋_GB2312"/>
                <w:sz w:val="24"/>
                <w:szCs w:val="24"/>
              </w:rPr>
            </w:pPr>
            <w:r>
              <w:rPr>
                <w:rFonts w:hint="eastAsia" w:ascii="宋体" w:hAnsi="宋体" w:eastAsia="仿宋_GB2312" w:cs="仿宋_GB2312"/>
                <w:spacing w:val="8"/>
                <w:sz w:val="24"/>
                <w:szCs w:val="24"/>
              </w:rPr>
              <w:t>行动</w:t>
            </w:r>
          </w:p>
        </w:tc>
        <w:tc>
          <w:tcPr>
            <w:tcW w:w="2131"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农村基础设施</w:t>
            </w:r>
          </w:p>
        </w:tc>
        <w:tc>
          <w:tcPr>
            <w:tcW w:w="519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104"/>
              <w:jc w:val="left"/>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村庄规划编制(含修编)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104"/>
              <w:jc w:val="left"/>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农村道路建设(通村路、通户路、小型桥梁等)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104"/>
              <w:jc w:val="left"/>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产业路、资源路、旅游路建设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104"/>
              <w:jc w:val="left"/>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农村供水保障设施建设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农村电网建设(通生产、生活用电、提高综合电</w:t>
            </w:r>
            <w:r>
              <w:rPr>
                <w:rFonts w:hint="eastAsia" w:ascii="宋体" w:hAnsi="宋体" w:eastAsia="仿宋_GB2312" w:cs="仿宋_GB2312"/>
                <w:spacing w:val="12"/>
                <w:sz w:val="24"/>
                <w:szCs w:val="24"/>
              </w:rPr>
              <w:t xml:space="preserve"> </w:t>
            </w:r>
            <w:r>
              <w:rPr>
                <w:rFonts w:hint="eastAsia" w:ascii="宋体" w:hAnsi="宋体" w:eastAsia="仿宋_GB2312" w:cs="仿宋_GB2312"/>
                <w:spacing w:val="-2"/>
                <w:sz w:val="24"/>
                <w:szCs w:val="24"/>
              </w:rPr>
              <w:t>压和供电可靠性)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宋体" w:hAnsi="宋体" w:eastAsia="仿宋_GB2312" w:cs="仿宋_GB2312"/>
                <w:sz w:val="24"/>
                <w:szCs w:val="24"/>
              </w:rPr>
            </w:pPr>
            <w:r>
              <w:rPr>
                <w:rFonts w:hint="eastAsia" w:ascii="宋体" w:hAnsi="宋体" w:eastAsia="仿宋_GB2312" w:cs="仿宋_GB2312"/>
                <w:spacing w:val="10"/>
                <w:sz w:val="24"/>
                <w:szCs w:val="24"/>
              </w:rPr>
              <w:t>数字乡村建设(信息通信基础设施建设、数字化</w:t>
            </w:r>
            <w:r>
              <w:rPr>
                <w:rFonts w:hint="eastAsia" w:ascii="宋体" w:hAnsi="宋体" w:eastAsia="仿宋_GB2312" w:cs="仿宋_GB2312"/>
                <w:spacing w:val="10"/>
                <w:sz w:val="24"/>
                <w:szCs w:val="24"/>
                <w:lang w:eastAsia="zh-CN"/>
              </w:rPr>
              <w:t>，</w:t>
            </w:r>
            <w:r>
              <w:rPr>
                <w:rFonts w:hint="eastAsia" w:ascii="宋体" w:hAnsi="宋体" w:eastAsia="仿宋_GB2312" w:cs="仿宋_GB2312"/>
                <w:spacing w:val="10"/>
                <w:sz w:val="24"/>
                <w:szCs w:val="24"/>
              </w:rPr>
              <w:t xml:space="preserve"> </w:t>
            </w:r>
            <w:r>
              <w:rPr>
                <w:rFonts w:hint="eastAsia" w:ascii="宋体" w:hAnsi="宋体" w:eastAsia="仿宋_GB2312" w:cs="仿宋_GB2312"/>
                <w:spacing w:val="16"/>
                <w:sz w:val="24"/>
                <w:szCs w:val="24"/>
              </w:rPr>
              <w:t>智能化建设等）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农村清洁能源设施建设(燃气、户用光伏、风电</w:t>
            </w:r>
            <w:r>
              <w:rPr>
                <w:rFonts w:hint="eastAsia" w:ascii="宋体" w:hAnsi="宋体" w:eastAsia="仿宋_GB2312" w:cs="仿宋_GB2312"/>
                <w:spacing w:val="12"/>
                <w:sz w:val="24"/>
                <w:szCs w:val="24"/>
              </w:rPr>
              <w:t xml:space="preserve"> </w:t>
            </w:r>
            <w:r>
              <w:rPr>
                <w:rFonts w:hint="eastAsia" w:ascii="宋体" w:hAnsi="宋体" w:eastAsia="仿宋_GB2312" w:cs="仿宋_GB2312"/>
                <w:spacing w:val="-1"/>
                <w:sz w:val="24"/>
                <w:szCs w:val="24"/>
              </w:rPr>
              <w:t>水电、农村生物质能源、北方地区清洁取暖等)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left"/>
              <w:textAlignment w:val="auto"/>
              <w:rPr>
                <w:rFonts w:hint="eastAsia" w:ascii="宋体" w:hAnsi="宋体" w:eastAsia="仿宋_GB2312" w:cs="仿宋_GB2312"/>
                <w:sz w:val="24"/>
                <w:szCs w:val="24"/>
              </w:rPr>
            </w:pPr>
            <w:r>
              <w:rPr>
                <w:rFonts w:hint="eastAsia" w:ascii="宋体" w:hAnsi="宋体" w:eastAsia="仿宋_GB2312" w:cs="仿宋_GB2312"/>
                <w:spacing w:val="-3"/>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仿宋_GB2312" w:cs="仿宋_GB2312"/>
                <w:sz w:val="24"/>
                <w:szCs w:val="24"/>
              </w:rPr>
            </w:pPr>
            <w:r>
              <w:rPr>
                <w:rFonts w:hint="eastAsia" w:ascii="宋体" w:hAnsi="宋体" w:eastAsia="仿宋_GB2312" w:cs="仿宋_GB2312"/>
                <w:spacing w:val="3"/>
                <w:sz w:val="24"/>
                <w:szCs w:val="24"/>
              </w:rPr>
              <w:t>人居环境整治</w:t>
            </w: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农村卫生厕所改造(户用、公共厕所)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农村污水治理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农村垃圾治理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2131"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仿宋_GB2312" w:cs="仿宋_GB2312"/>
                <w:sz w:val="24"/>
                <w:szCs w:val="24"/>
              </w:rPr>
            </w:pP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1"/>
                <w:sz w:val="24"/>
                <w:szCs w:val="24"/>
              </w:rPr>
              <w:t>村容村貌提升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105"/>
              <w:jc w:val="center"/>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项目管理费</w:t>
            </w:r>
          </w:p>
        </w:tc>
        <w:tc>
          <w:tcPr>
            <w:tcW w:w="2131"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112"/>
              <w:jc w:val="center"/>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项目管理费</w:t>
            </w:r>
          </w:p>
        </w:tc>
        <w:tc>
          <w:tcPr>
            <w:tcW w:w="519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104"/>
              <w:textAlignment w:val="auto"/>
              <w:rPr>
                <w:rFonts w:hint="eastAsia" w:ascii="宋体" w:hAnsi="宋体" w:eastAsia="仿宋_GB2312" w:cs="仿宋_GB2312"/>
                <w:sz w:val="24"/>
                <w:szCs w:val="24"/>
              </w:rPr>
            </w:pPr>
            <w:r>
              <w:rPr>
                <w:rFonts w:hint="eastAsia" w:ascii="宋体" w:hAnsi="宋体" w:eastAsia="仿宋_GB2312" w:cs="仿宋_GB2312"/>
                <w:spacing w:val="2"/>
                <w:sz w:val="24"/>
                <w:szCs w:val="24"/>
              </w:rPr>
              <w:t>项目管理费</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rPr>
          <w:rFonts w:ascii="宋体" w:hAnsi="宋体"/>
        </w:rPr>
        <w:sectPr>
          <w:footerReference r:id="rId3" w:type="default"/>
          <w:footerReference r:id="rId4" w:type="even"/>
          <w:pgSz w:w="11900" w:h="16820"/>
          <w:pgMar w:top="1814" w:right="1531" w:bottom="1757" w:left="1531" w:header="0" w:footer="1304"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firstLine="25"/>
        <w:textAlignment w:val="auto"/>
        <w:rPr>
          <w:rFonts w:hint="eastAsia" w:ascii="宋体" w:hAnsi="宋体" w:eastAsia="黑体"/>
          <w:sz w:val="21"/>
          <w:lang w:val="en-US" w:eastAsia="zh-CN"/>
        </w:rPr>
      </w:pPr>
      <w:r>
        <w:rPr>
          <w:rFonts w:hint="eastAsia" w:ascii="宋体" w:hAnsi="宋体" w:eastAsia="黑体" w:cs="黑体"/>
          <w:spacing w:val="4"/>
          <w:sz w:val="30"/>
          <w:szCs w:val="30"/>
        </w:rPr>
        <w:t>附件</w:t>
      </w:r>
      <w:r>
        <w:rPr>
          <w:rFonts w:hint="eastAsia" w:ascii="宋体" w:hAnsi="宋体" w:eastAsia="黑体" w:cs="黑体"/>
          <w:spacing w:val="4"/>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firstLine="525"/>
        <w:textAlignment w:val="auto"/>
        <w:rPr>
          <w:rFonts w:hint="eastAsia" w:ascii="宋体" w:hAnsi="宋体" w:eastAsia="方正小标宋简体" w:cs="方正小标宋简体"/>
          <w:spacing w:val="0"/>
          <w:w w:val="96"/>
          <w:sz w:val="36"/>
          <w:szCs w:val="36"/>
        </w:rPr>
      </w:pPr>
      <w:r>
        <w:rPr>
          <w:rFonts w:hint="eastAsia" w:ascii="宋体" w:hAnsi="宋体" w:eastAsia="方正小标宋简体" w:cs="方正小标宋简体"/>
          <w:spacing w:val="0"/>
          <w:w w:val="96"/>
          <w:sz w:val="36"/>
          <w:szCs w:val="36"/>
        </w:rPr>
        <w:t>财政衔接推进乡村振兴补助资金(巩固拓展脱贫成果和乡村振兴任务)项目申报入库统计表</w:t>
      </w:r>
    </w:p>
    <w:p>
      <w:pPr>
        <w:rPr>
          <w:rFonts w:ascii="宋体" w:hAnsi="宋体"/>
        </w:rPr>
      </w:pPr>
    </w:p>
    <w:p>
      <w:pPr>
        <w:spacing w:line="40" w:lineRule="exact"/>
        <w:rPr>
          <w:rFonts w:ascii="宋体" w:hAnsi="宋体"/>
        </w:rPr>
      </w:pPr>
    </w:p>
    <w:tbl>
      <w:tblPr>
        <w:tblStyle w:val="15"/>
        <w:tblW w:w="140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6"/>
        <w:gridCol w:w="1183"/>
        <w:gridCol w:w="930"/>
        <w:gridCol w:w="1095"/>
        <w:gridCol w:w="1140"/>
        <w:gridCol w:w="1087"/>
        <w:gridCol w:w="1335"/>
        <w:gridCol w:w="1815"/>
        <w:gridCol w:w="975"/>
        <w:gridCol w:w="1532"/>
        <w:gridCol w:w="1188"/>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1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序号</w:t>
            </w:r>
          </w:p>
        </w:tc>
        <w:tc>
          <w:tcPr>
            <w:tcW w:w="118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5"/>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项目名称</w:t>
            </w:r>
          </w:p>
        </w:tc>
        <w:tc>
          <w:tcPr>
            <w:tcW w:w="93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5"/>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项目</w:t>
            </w:r>
          </w:p>
          <w:p>
            <w:pPr>
              <w:keepNext w:val="0"/>
              <w:keepLines w:val="0"/>
              <w:pageBreakBefore w:val="0"/>
              <w:widowControl w:val="0"/>
              <w:kinsoku/>
              <w:wordWrap/>
              <w:overflowPunct/>
              <w:topLinePunct w:val="0"/>
              <w:autoSpaceDE/>
              <w:autoSpaceDN/>
              <w:bidi w:val="0"/>
              <w:adjustRightInd/>
              <w:snapToGrid/>
              <w:spacing w:line="320" w:lineRule="exact"/>
              <w:ind w:firstLine="115"/>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类型</w:t>
            </w:r>
          </w:p>
        </w:tc>
        <w:tc>
          <w:tcPr>
            <w:tcW w:w="109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5"/>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建设</w:t>
            </w:r>
          </w:p>
          <w:p>
            <w:pPr>
              <w:keepNext w:val="0"/>
              <w:keepLines w:val="0"/>
              <w:pageBreakBefore w:val="0"/>
              <w:widowControl w:val="0"/>
              <w:kinsoku/>
              <w:wordWrap/>
              <w:overflowPunct/>
              <w:topLinePunct w:val="0"/>
              <w:autoSpaceDE/>
              <w:autoSpaceDN/>
              <w:bidi w:val="0"/>
              <w:adjustRightInd/>
              <w:snapToGrid/>
              <w:spacing w:line="320" w:lineRule="exact"/>
              <w:ind w:firstLine="115"/>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性质</w:t>
            </w:r>
          </w:p>
        </w:tc>
        <w:tc>
          <w:tcPr>
            <w:tcW w:w="114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5"/>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实施</w:t>
            </w:r>
          </w:p>
          <w:p>
            <w:pPr>
              <w:keepNext w:val="0"/>
              <w:keepLines w:val="0"/>
              <w:pageBreakBefore w:val="0"/>
              <w:widowControl w:val="0"/>
              <w:kinsoku/>
              <w:wordWrap/>
              <w:overflowPunct/>
              <w:topLinePunct w:val="0"/>
              <w:autoSpaceDE/>
              <w:autoSpaceDN/>
              <w:bidi w:val="0"/>
              <w:adjustRightInd/>
              <w:snapToGrid/>
              <w:spacing w:line="320" w:lineRule="exact"/>
              <w:ind w:firstLine="115"/>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地点</w:t>
            </w:r>
          </w:p>
        </w:tc>
        <w:tc>
          <w:tcPr>
            <w:tcW w:w="108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实施</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spacing w:val="7"/>
                <w:kern w:val="2"/>
                <w:sz w:val="24"/>
                <w:szCs w:val="24"/>
                <w:lang w:val="en-US" w:eastAsia="zh-CN" w:bidi="ar-SA"/>
              </w:rPr>
            </w:pPr>
            <w:r>
              <w:rPr>
                <w:rFonts w:hint="eastAsia" w:ascii="宋体" w:hAnsi="宋体" w:eastAsia="黑体" w:cs="黑体"/>
                <w:spacing w:val="7"/>
                <w:sz w:val="24"/>
                <w:szCs w:val="24"/>
              </w:rPr>
              <w:t>期限</w:t>
            </w:r>
          </w:p>
        </w:tc>
        <w:tc>
          <w:tcPr>
            <w:tcW w:w="133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5"/>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建设内容</w:t>
            </w:r>
          </w:p>
        </w:tc>
        <w:tc>
          <w:tcPr>
            <w:tcW w:w="18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5"/>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投资概算</w:t>
            </w:r>
          </w:p>
          <w:p>
            <w:pPr>
              <w:keepNext w:val="0"/>
              <w:keepLines w:val="0"/>
              <w:pageBreakBefore w:val="0"/>
              <w:widowControl w:val="0"/>
              <w:kinsoku/>
              <w:wordWrap/>
              <w:overflowPunct/>
              <w:topLinePunct w:val="0"/>
              <w:autoSpaceDE/>
              <w:autoSpaceDN/>
              <w:bidi w:val="0"/>
              <w:adjustRightInd/>
              <w:snapToGrid/>
              <w:spacing w:line="320" w:lineRule="exact"/>
              <w:ind w:firstLine="115"/>
              <w:jc w:val="center"/>
              <w:textAlignment w:val="auto"/>
              <w:rPr>
                <w:rFonts w:hint="eastAsia" w:ascii="宋体" w:hAnsi="宋体" w:eastAsia="黑体" w:cs="黑体"/>
                <w:spacing w:val="7"/>
                <w:sz w:val="24"/>
                <w:szCs w:val="24"/>
                <w:lang w:eastAsia="zh-CN"/>
              </w:rPr>
            </w:pPr>
            <w:r>
              <w:rPr>
                <w:rFonts w:hint="eastAsia" w:ascii="宋体" w:hAnsi="宋体" w:eastAsia="黑体" w:cs="黑体"/>
                <w:spacing w:val="7"/>
                <w:sz w:val="24"/>
                <w:szCs w:val="24"/>
                <w:lang w:eastAsia="zh-CN"/>
              </w:rPr>
              <w:t>（万元）</w:t>
            </w:r>
          </w:p>
        </w:tc>
        <w:tc>
          <w:tcPr>
            <w:tcW w:w="97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5"/>
              <w:jc w:val="center"/>
              <w:textAlignment w:val="auto"/>
              <w:rPr>
                <w:rFonts w:hint="eastAsia" w:ascii="宋体" w:hAnsi="宋体" w:eastAsia="黑体" w:cs="黑体"/>
                <w:spacing w:val="7"/>
                <w:sz w:val="24"/>
                <w:szCs w:val="24"/>
                <w:lang w:val="en-US" w:eastAsia="zh-CN"/>
              </w:rPr>
            </w:pPr>
            <w:r>
              <w:rPr>
                <w:rFonts w:hint="eastAsia" w:ascii="宋体" w:hAnsi="宋体" w:eastAsia="黑体" w:cs="黑体"/>
                <w:spacing w:val="7"/>
                <w:sz w:val="24"/>
                <w:szCs w:val="24"/>
                <w:lang w:val="en-US" w:eastAsia="zh-CN"/>
              </w:rPr>
              <w:t>受益</w:t>
            </w:r>
          </w:p>
          <w:p>
            <w:pPr>
              <w:keepNext w:val="0"/>
              <w:keepLines w:val="0"/>
              <w:pageBreakBefore w:val="0"/>
              <w:widowControl w:val="0"/>
              <w:kinsoku/>
              <w:wordWrap/>
              <w:overflowPunct/>
              <w:topLinePunct w:val="0"/>
              <w:autoSpaceDE/>
              <w:autoSpaceDN/>
              <w:bidi w:val="0"/>
              <w:adjustRightInd/>
              <w:snapToGrid/>
              <w:spacing w:line="320" w:lineRule="exact"/>
              <w:ind w:firstLine="115"/>
              <w:jc w:val="center"/>
              <w:textAlignment w:val="auto"/>
              <w:rPr>
                <w:rFonts w:hint="eastAsia" w:ascii="宋体" w:hAnsi="宋体" w:eastAsia="黑体" w:cs="黑体"/>
                <w:spacing w:val="7"/>
                <w:sz w:val="24"/>
                <w:szCs w:val="24"/>
                <w:lang w:val="en-US" w:eastAsia="zh-CN"/>
              </w:rPr>
            </w:pPr>
            <w:r>
              <w:rPr>
                <w:rFonts w:hint="eastAsia" w:ascii="宋体" w:hAnsi="宋体" w:eastAsia="黑体" w:cs="黑体"/>
                <w:spacing w:val="7"/>
                <w:sz w:val="24"/>
                <w:szCs w:val="24"/>
                <w:lang w:val="en-US" w:eastAsia="zh-CN"/>
              </w:rPr>
              <w:t>对象</w:t>
            </w:r>
          </w:p>
        </w:tc>
        <w:tc>
          <w:tcPr>
            <w:tcW w:w="153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5"/>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预期绩</w:t>
            </w:r>
          </w:p>
          <w:p>
            <w:pPr>
              <w:keepNext w:val="0"/>
              <w:keepLines w:val="0"/>
              <w:pageBreakBefore w:val="0"/>
              <w:widowControl w:val="0"/>
              <w:kinsoku/>
              <w:wordWrap/>
              <w:overflowPunct/>
              <w:topLinePunct w:val="0"/>
              <w:autoSpaceDE/>
              <w:autoSpaceDN/>
              <w:bidi w:val="0"/>
              <w:adjustRightInd/>
              <w:snapToGrid/>
              <w:spacing w:line="320" w:lineRule="exact"/>
              <w:ind w:firstLine="115"/>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效目标</w:t>
            </w:r>
          </w:p>
        </w:tc>
        <w:tc>
          <w:tcPr>
            <w:tcW w:w="118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15"/>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利益联结</w:t>
            </w:r>
          </w:p>
          <w:p>
            <w:pPr>
              <w:keepNext w:val="0"/>
              <w:keepLines w:val="0"/>
              <w:pageBreakBefore w:val="0"/>
              <w:widowControl w:val="0"/>
              <w:kinsoku/>
              <w:wordWrap/>
              <w:overflowPunct/>
              <w:topLinePunct w:val="0"/>
              <w:autoSpaceDE/>
              <w:autoSpaceDN/>
              <w:bidi w:val="0"/>
              <w:adjustRightInd/>
              <w:snapToGrid/>
              <w:spacing w:line="320" w:lineRule="exact"/>
              <w:ind w:firstLine="115"/>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机制</w:t>
            </w:r>
          </w:p>
        </w:tc>
        <w:tc>
          <w:tcPr>
            <w:tcW w:w="11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责任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spacing w:val="7"/>
                <w:sz w:val="24"/>
                <w:szCs w:val="24"/>
              </w:rPr>
            </w:pPr>
            <w:r>
              <w:rPr>
                <w:rFonts w:hint="eastAsia" w:ascii="宋体" w:hAnsi="宋体" w:eastAsia="黑体" w:cs="黑体"/>
                <w:spacing w:val="7"/>
                <w:sz w:val="24"/>
                <w:szCs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1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83"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93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09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4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08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Times New Roman"/>
                <w:kern w:val="2"/>
                <w:sz w:val="21"/>
                <w:szCs w:val="24"/>
                <w:lang w:val="en-US" w:eastAsia="zh-CN" w:bidi="ar-SA"/>
              </w:rPr>
            </w:pPr>
          </w:p>
        </w:tc>
        <w:tc>
          <w:tcPr>
            <w:tcW w:w="133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8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97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53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8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1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1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83"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93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09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4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08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Times New Roman"/>
                <w:kern w:val="2"/>
                <w:sz w:val="21"/>
                <w:szCs w:val="24"/>
                <w:lang w:val="en-US" w:eastAsia="zh-CN" w:bidi="ar-SA"/>
              </w:rPr>
            </w:pPr>
          </w:p>
        </w:tc>
        <w:tc>
          <w:tcPr>
            <w:tcW w:w="133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8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97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53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8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1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1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83"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93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09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4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08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Times New Roman"/>
                <w:kern w:val="2"/>
                <w:sz w:val="21"/>
                <w:szCs w:val="24"/>
                <w:lang w:val="en-US" w:eastAsia="zh-CN" w:bidi="ar-SA"/>
              </w:rPr>
            </w:pPr>
          </w:p>
        </w:tc>
        <w:tc>
          <w:tcPr>
            <w:tcW w:w="133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8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97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53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8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1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1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83"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93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09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4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08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Times New Roman"/>
                <w:kern w:val="2"/>
                <w:sz w:val="21"/>
                <w:szCs w:val="24"/>
                <w:lang w:val="en-US" w:eastAsia="zh-CN" w:bidi="ar-SA"/>
              </w:rPr>
            </w:pPr>
          </w:p>
        </w:tc>
        <w:tc>
          <w:tcPr>
            <w:tcW w:w="133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8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97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53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8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1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1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83"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93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09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4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08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Times New Roman"/>
                <w:kern w:val="2"/>
                <w:sz w:val="21"/>
                <w:szCs w:val="24"/>
                <w:lang w:val="en-US" w:eastAsia="zh-CN" w:bidi="ar-SA"/>
              </w:rPr>
            </w:pPr>
          </w:p>
        </w:tc>
        <w:tc>
          <w:tcPr>
            <w:tcW w:w="133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8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97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53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8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1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1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83"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93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09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4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08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Times New Roman"/>
                <w:kern w:val="2"/>
                <w:sz w:val="21"/>
                <w:szCs w:val="24"/>
                <w:lang w:val="en-US" w:eastAsia="zh-CN" w:bidi="ar-SA"/>
              </w:rPr>
            </w:pPr>
          </w:p>
        </w:tc>
        <w:tc>
          <w:tcPr>
            <w:tcW w:w="133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8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97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53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8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1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1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83"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93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09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4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08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Times New Roman"/>
                <w:kern w:val="2"/>
                <w:sz w:val="21"/>
                <w:szCs w:val="24"/>
                <w:lang w:val="en-US" w:eastAsia="zh-CN" w:bidi="ar-SA"/>
              </w:rPr>
            </w:pPr>
          </w:p>
        </w:tc>
        <w:tc>
          <w:tcPr>
            <w:tcW w:w="133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8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97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53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8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1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1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83"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93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09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4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08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Times New Roman"/>
                <w:kern w:val="2"/>
                <w:sz w:val="21"/>
                <w:szCs w:val="24"/>
                <w:lang w:val="en-US" w:eastAsia="zh-CN" w:bidi="ar-SA"/>
              </w:rPr>
            </w:pPr>
          </w:p>
        </w:tc>
        <w:tc>
          <w:tcPr>
            <w:tcW w:w="133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8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97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53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8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c>
          <w:tcPr>
            <w:tcW w:w="1117"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 w:val="21"/>
              </w:rPr>
            </w:pPr>
          </w:p>
        </w:tc>
      </w:tr>
    </w:tbl>
    <w:p>
      <w:pPr>
        <w:rPr>
          <w:rFonts w:ascii="宋体" w:hAnsi="宋体"/>
          <w:sz w:val="21"/>
        </w:rPr>
      </w:pPr>
    </w:p>
    <w:p>
      <w:pPr>
        <w:rPr>
          <w:rFonts w:ascii="宋体" w:hAnsi="宋体"/>
        </w:rPr>
        <w:sectPr>
          <w:footerReference r:id="rId5" w:type="default"/>
          <w:pgSz w:w="16820" w:h="11900"/>
          <w:pgMar w:top="1011" w:right="1465" w:bottom="1219" w:left="1394" w:header="0" w:footer="110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420" w:lineRule="exact"/>
        <w:ind w:firstLine="23"/>
        <w:textAlignment w:val="auto"/>
        <w:rPr>
          <w:rFonts w:ascii="宋体" w:hAnsi="宋体"/>
        </w:rPr>
      </w:pPr>
      <w:r>
        <w:rPr>
          <w:rFonts w:hint="eastAsia" w:ascii="宋体" w:hAnsi="宋体" w:eastAsia="黑体" w:cs="黑体"/>
          <w:spacing w:val="4"/>
          <w:sz w:val="30"/>
          <w:szCs w:val="30"/>
        </w:rPr>
        <w:t>附件3</w:t>
      </w:r>
    </w:p>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方正小标宋简体" w:cs="方正小标宋简体"/>
          <w:spacing w:val="7"/>
          <w:sz w:val="36"/>
          <w:szCs w:val="36"/>
        </w:rPr>
      </w:pPr>
      <w:r>
        <w:rPr>
          <w:rFonts w:hint="eastAsia" w:ascii="宋体" w:hAnsi="宋体" w:eastAsia="方正小标宋简体" w:cs="方正小标宋简体"/>
          <w:spacing w:val="7"/>
          <w:sz w:val="36"/>
          <w:szCs w:val="36"/>
        </w:rPr>
        <w:t>财政衔接推进乡村振兴补助资金</w:t>
      </w:r>
    </w:p>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方正小标宋简体" w:cs="方正小标宋简体"/>
          <w:spacing w:val="7"/>
          <w:sz w:val="36"/>
          <w:szCs w:val="36"/>
        </w:rPr>
      </w:pPr>
      <w:r>
        <w:rPr>
          <w:rFonts w:hint="eastAsia" w:ascii="宋体" w:hAnsi="宋体" w:eastAsia="方正小标宋简体" w:cs="方正小标宋简体"/>
          <w:spacing w:val="7"/>
          <w:sz w:val="36"/>
          <w:szCs w:val="36"/>
        </w:rPr>
        <w:t>(巩固拓展脱贫成果和乡村振兴任务)支持项目</w:t>
      </w:r>
    </w:p>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sz w:val="36"/>
          <w:szCs w:val="36"/>
        </w:rPr>
      </w:pPr>
      <w:r>
        <w:rPr>
          <w:rFonts w:hint="eastAsia" w:ascii="宋体" w:hAnsi="宋体" w:eastAsia="方正小标宋简体" w:cs="方正小标宋简体"/>
          <w:spacing w:val="7"/>
          <w:sz w:val="36"/>
          <w:szCs w:val="36"/>
        </w:rPr>
        <w:t>绩效目标申报表(202X年)</w:t>
      </w:r>
    </w:p>
    <w:tbl>
      <w:tblPr>
        <w:tblStyle w:val="15"/>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187"/>
        <w:gridCol w:w="1411"/>
        <w:gridCol w:w="1470"/>
        <w:gridCol w:w="2432"/>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05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r>
              <w:rPr>
                <w:rFonts w:hint="eastAsia" w:ascii="宋体" w:hAnsi="宋体" w:eastAsia="黑体" w:cs="黑体"/>
                <w:spacing w:val="7"/>
                <w:sz w:val="21"/>
                <w:szCs w:val="21"/>
              </w:rPr>
              <w:t>项目名称</w:t>
            </w:r>
          </w:p>
        </w:tc>
        <w:tc>
          <w:tcPr>
            <w:tcW w:w="288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p>
        </w:tc>
        <w:tc>
          <w:tcPr>
            <w:tcW w:w="243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r>
              <w:rPr>
                <w:rFonts w:hint="eastAsia" w:ascii="宋体" w:hAnsi="宋体" w:eastAsia="黑体" w:cs="黑体"/>
                <w:spacing w:val="7"/>
                <w:sz w:val="21"/>
                <w:szCs w:val="21"/>
              </w:rPr>
              <w:t>项目负责人及</w:t>
            </w:r>
          </w:p>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r>
              <w:rPr>
                <w:rFonts w:hint="eastAsia" w:ascii="宋体" w:hAnsi="宋体" w:eastAsia="黑体" w:cs="黑体"/>
                <w:spacing w:val="7"/>
                <w:sz w:val="21"/>
                <w:szCs w:val="21"/>
              </w:rPr>
              <w:t>联系电话</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05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r>
              <w:rPr>
                <w:rFonts w:hint="eastAsia" w:ascii="宋体" w:hAnsi="宋体" w:eastAsia="黑体" w:cs="黑体"/>
                <w:spacing w:val="7"/>
                <w:sz w:val="21"/>
                <w:szCs w:val="21"/>
              </w:rPr>
              <w:t>主管部门</w:t>
            </w:r>
          </w:p>
        </w:tc>
        <w:tc>
          <w:tcPr>
            <w:tcW w:w="288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p>
        </w:tc>
        <w:tc>
          <w:tcPr>
            <w:tcW w:w="243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r>
              <w:rPr>
                <w:rFonts w:hint="eastAsia" w:ascii="宋体" w:hAnsi="宋体" w:eastAsia="黑体" w:cs="黑体"/>
                <w:spacing w:val="7"/>
                <w:sz w:val="21"/>
                <w:szCs w:val="21"/>
              </w:rPr>
              <w:t>实施单位</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051" w:type="dxa"/>
            <w:gridSpan w:val="2"/>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r>
              <w:rPr>
                <w:rFonts w:hint="eastAsia" w:ascii="宋体" w:hAnsi="宋体" w:eastAsia="黑体" w:cs="黑体"/>
                <w:spacing w:val="7"/>
                <w:sz w:val="21"/>
                <w:szCs w:val="21"/>
              </w:rPr>
              <w:t>资金情况</w:t>
            </w:r>
          </w:p>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r>
              <w:rPr>
                <w:rFonts w:hint="eastAsia" w:ascii="宋体" w:hAnsi="宋体" w:eastAsia="黑体" w:cs="黑体"/>
                <w:spacing w:val="7"/>
                <w:sz w:val="21"/>
                <w:szCs w:val="21"/>
              </w:rPr>
              <w:t>(万元)</w:t>
            </w:r>
          </w:p>
        </w:tc>
        <w:tc>
          <w:tcPr>
            <w:tcW w:w="288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r>
              <w:rPr>
                <w:rFonts w:ascii="宋体" w:hAnsi="宋体" w:eastAsia="宋体" w:cs="宋体"/>
                <w:spacing w:val="7"/>
                <w:sz w:val="21"/>
                <w:szCs w:val="21"/>
              </w:rPr>
              <w:t>年度资金总额:</w:t>
            </w:r>
          </w:p>
        </w:tc>
        <w:tc>
          <w:tcPr>
            <w:tcW w:w="3855"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051" w:type="dxa"/>
            <w:gridSpan w:val="2"/>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288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r>
              <w:rPr>
                <w:rFonts w:ascii="宋体" w:hAnsi="宋体" w:eastAsia="宋体" w:cs="宋体"/>
                <w:spacing w:val="7"/>
                <w:sz w:val="21"/>
                <w:szCs w:val="21"/>
              </w:rPr>
              <w:t>其中:财政拨款</w:t>
            </w:r>
          </w:p>
        </w:tc>
        <w:tc>
          <w:tcPr>
            <w:tcW w:w="3855"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051" w:type="dxa"/>
            <w:gridSpan w:val="2"/>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288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r>
              <w:rPr>
                <w:rFonts w:ascii="宋体" w:hAnsi="宋体" w:eastAsia="宋体" w:cs="宋体"/>
                <w:spacing w:val="7"/>
                <w:sz w:val="21"/>
                <w:szCs w:val="21"/>
              </w:rPr>
              <w:t>其他资金</w:t>
            </w:r>
          </w:p>
        </w:tc>
        <w:tc>
          <w:tcPr>
            <w:tcW w:w="3855"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r>
              <w:rPr>
                <w:rFonts w:hint="eastAsia" w:ascii="宋体" w:hAnsi="宋体" w:eastAsia="黑体" w:cs="黑体"/>
                <w:spacing w:val="7"/>
                <w:sz w:val="21"/>
                <w:szCs w:val="21"/>
              </w:rPr>
              <w:t>总体</w:t>
            </w:r>
          </w:p>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r>
              <w:rPr>
                <w:rFonts w:hint="eastAsia" w:ascii="宋体" w:hAnsi="宋体" w:eastAsia="黑体" w:cs="黑体"/>
                <w:spacing w:val="7"/>
                <w:sz w:val="21"/>
                <w:szCs w:val="21"/>
              </w:rPr>
              <w:t>目标</w:t>
            </w:r>
          </w:p>
        </w:tc>
        <w:tc>
          <w:tcPr>
            <w:tcW w:w="79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r>
              <w:rPr>
                <w:rFonts w:hint="eastAsia" w:ascii="宋体" w:hAnsi="宋体" w:eastAsia="黑体" w:cs="黑体"/>
                <w:spacing w:val="7"/>
                <w:sz w:val="21"/>
                <w:szCs w:val="21"/>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cBorders>
              <w:top w:val="nil"/>
              <w:bottom w:val="single" w:color="000000" w:sz="2"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p>
        </w:tc>
        <w:tc>
          <w:tcPr>
            <w:tcW w:w="79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r>
              <w:rPr>
                <w:rFonts w:hint="eastAsia" w:ascii="宋体" w:hAnsi="宋体" w:eastAsia="黑体" w:cs="黑体"/>
                <w:spacing w:val="7"/>
                <w:sz w:val="21"/>
                <w:szCs w:val="21"/>
              </w:rPr>
              <w:t>绩效</w:t>
            </w:r>
          </w:p>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黑体" w:cs="黑体"/>
                <w:spacing w:val="7"/>
                <w:sz w:val="21"/>
                <w:szCs w:val="21"/>
              </w:rPr>
            </w:pPr>
            <w:r>
              <w:rPr>
                <w:rFonts w:hint="eastAsia" w:ascii="宋体" w:hAnsi="宋体" w:eastAsia="黑体" w:cs="黑体"/>
                <w:spacing w:val="7"/>
                <w:sz w:val="21"/>
                <w:szCs w:val="21"/>
              </w:rPr>
              <w:t>指标</w:t>
            </w:r>
          </w:p>
        </w:tc>
        <w:tc>
          <w:tcPr>
            <w:tcW w:w="118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一级指标</w:t>
            </w:r>
          </w:p>
        </w:tc>
        <w:tc>
          <w:tcPr>
            <w:tcW w:w="1411"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二级指标</w:t>
            </w:r>
          </w:p>
        </w:tc>
        <w:tc>
          <w:tcPr>
            <w:tcW w:w="390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三级指标</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产出指标</w:t>
            </w:r>
          </w:p>
        </w:tc>
        <w:tc>
          <w:tcPr>
            <w:tcW w:w="1411"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数量指标</w:t>
            </w:r>
          </w:p>
        </w:tc>
        <w:tc>
          <w:tcPr>
            <w:tcW w:w="390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指标1:</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1411"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390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指标2:</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1411" w:type="dxa"/>
            <w:vMerge w:val="restart"/>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质量指标</w:t>
            </w:r>
          </w:p>
        </w:tc>
        <w:tc>
          <w:tcPr>
            <w:tcW w:w="390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指标1:</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1411"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390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指标2:</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1411"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时效指标</w:t>
            </w:r>
          </w:p>
        </w:tc>
        <w:tc>
          <w:tcPr>
            <w:tcW w:w="390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指标1:</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1411"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390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指标2:</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1411"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成本指标</w:t>
            </w:r>
          </w:p>
        </w:tc>
        <w:tc>
          <w:tcPr>
            <w:tcW w:w="390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指标1:</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1411"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390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指标2:</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效益指标</w:t>
            </w:r>
          </w:p>
        </w:tc>
        <w:tc>
          <w:tcPr>
            <w:tcW w:w="1411"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经济效益指标</w:t>
            </w:r>
          </w:p>
        </w:tc>
        <w:tc>
          <w:tcPr>
            <w:tcW w:w="390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指标1:</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1411"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390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指标2:</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1411"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社会效益指标</w:t>
            </w:r>
          </w:p>
        </w:tc>
        <w:tc>
          <w:tcPr>
            <w:tcW w:w="390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指标1:</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1411"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3902" w:type="dxa"/>
            <w:gridSpan w:val="2"/>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指标2:</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1411"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生态效益指标</w:t>
            </w:r>
          </w:p>
        </w:tc>
        <w:tc>
          <w:tcPr>
            <w:tcW w:w="390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指标1:</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1411"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3902" w:type="dxa"/>
            <w:gridSpan w:val="2"/>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指标2:</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1411"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可持续影响</w:t>
            </w:r>
          </w:p>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w:t>
            </w:r>
          </w:p>
        </w:tc>
        <w:tc>
          <w:tcPr>
            <w:tcW w:w="390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指标1:</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1411"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3902" w:type="dxa"/>
            <w:gridSpan w:val="2"/>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指标2:</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restart"/>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满意度指标</w:t>
            </w:r>
          </w:p>
        </w:tc>
        <w:tc>
          <w:tcPr>
            <w:tcW w:w="1411"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服务对象</w:t>
            </w:r>
          </w:p>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满意度指标</w:t>
            </w:r>
          </w:p>
        </w:tc>
        <w:tc>
          <w:tcPr>
            <w:tcW w:w="390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指标1:</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64" w:type="dxa"/>
            <w:vMerge w:val="continue"/>
            <w:tcBorders>
              <w:bottom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ascii="宋体" w:hAnsi="宋体" w:eastAsia="宋体" w:cs="宋体"/>
                <w:spacing w:val="7"/>
                <w:sz w:val="21"/>
                <w:szCs w:val="21"/>
              </w:rPr>
            </w:pPr>
          </w:p>
        </w:tc>
        <w:tc>
          <w:tcPr>
            <w:tcW w:w="1187"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1411"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c>
          <w:tcPr>
            <w:tcW w:w="390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指标2:</w:t>
            </w:r>
          </w:p>
        </w:tc>
        <w:tc>
          <w:tcPr>
            <w:tcW w:w="14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firstLine="113"/>
              <w:jc w:val="center"/>
              <w:textAlignment w:val="auto"/>
              <w:rPr>
                <w:rFonts w:hint="eastAsia" w:ascii="宋体" w:hAnsi="宋体" w:eastAsia="仿宋_GB2312" w:cs="仿宋_GB2312"/>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787" w:type="dxa"/>
            <w:gridSpan w:val="6"/>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6" w:lineRule="exact"/>
              <w:ind w:left="288" w:hanging="288" w:hangingChars="129"/>
              <w:jc w:val="both"/>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rPr>
              <w:t>注:1."其他资金”是指与财政拨款共同用于巩固拓展脱贫攻坚成果和乡村振兴项目的单位自有资金、社会资金等。</w:t>
            </w:r>
          </w:p>
          <w:p>
            <w:pPr>
              <w:keepNext w:val="0"/>
              <w:keepLines w:val="0"/>
              <w:pageBreakBefore w:val="0"/>
              <w:widowControl w:val="0"/>
              <w:numPr>
                <w:ilvl w:val="0"/>
                <w:numId w:val="0"/>
              </w:numPr>
              <w:kinsoku/>
              <w:wordWrap/>
              <w:overflowPunct/>
              <w:topLinePunct w:val="0"/>
              <w:autoSpaceDE/>
              <w:autoSpaceDN/>
              <w:bidi w:val="0"/>
              <w:adjustRightInd/>
              <w:snapToGrid/>
              <w:spacing w:line="246" w:lineRule="exact"/>
              <w:ind w:firstLine="336" w:firstLineChars="150"/>
              <w:jc w:val="both"/>
              <w:textAlignment w:val="auto"/>
              <w:rPr>
                <w:rFonts w:hint="eastAsia" w:ascii="宋体" w:hAnsi="宋体" w:eastAsia="仿宋_GB2312" w:cs="仿宋_GB2312"/>
                <w:spacing w:val="7"/>
                <w:sz w:val="21"/>
                <w:szCs w:val="21"/>
              </w:rPr>
            </w:pPr>
            <w:r>
              <w:rPr>
                <w:rFonts w:hint="eastAsia" w:ascii="宋体" w:hAnsi="宋体" w:eastAsia="仿宋_GB2312" w:cs="仿宋_GB2312"/>
                <w:spacing w:val="7"/>
                <w:sz w:val="21"/>
                <w:szCs w:val="21"/>
                <w:lang w:val="en-US" w:eastAsia="zh-CN"/>
              </w:rPr>
              <w:t>2.</w:t>
            </w:r>
            <w:r>
              <w:rPr>
                <w:rFonts w:hint="eastAsia" w:ascii="宋体" w:hAnsi="宋体" w:eastAsia="仿宋_GB2312" w:cs="仿宋_GB2312"/>
                <w:spacing w:val="7"/>
                <w:sz w:val="21"/>
                <w:szCs w:val="21"/>
              </w:rPr>
              <w:t>各地根据实际情况</w:t>
            </w:r>
            <w:r>
              <w:rPr>
                <w:rFonts w:hint="eastAsia" w:ascii="宋体" w:hAnsi="宋体" w:eastAsia="仿宋_GB2312" w:cs="仿宋_GB2312"/>
                <w:spacing w:val="7"/>
                <w:sz w:val="21"/>
                <w:szCs w:val="21"/>
                <w:lang w:eastAsia="zh-CN"/>
              </w:rPr>
              <w:t>，</w:t>
            </w:r>
            <w:r>
              <w:rPr>
                <w:rFonts w:hint="eastAsia" w:ascii="宋体" w:hAnsi="宋体" w:eastAsia="仿宋_GB2312" w:cs="仿宋_GB2312"/>
                <w:spacing w:val="7"/>
                <w:sz w:val="21"/>
                <w:szCs w:val="21"/>
              </w:rPr>
              <w:t>选择适合的二级指标进行填报</w:t>
            </w:r>
            <w:r>
              <w:rPr>
                <w:rFonts w:hint="eastAsia" w:ascii="宋体" w:hAnsi="宋体" w:eastAsia="仿宋_GB2312" w:cs="仿宋_GB2312"/>
                <w:spacing w:val="7"/>
                <w:sz w:val="21"/>
                <w:szCs w:val="21"/>
                <w:lang w:eastAsia="zh-CN"/>
              </w:rPr>
              <w:t>，</w:t>
            </w:r>
            <w:r>
              <w:rPr>
                <w:rFonts w:hint="eastAsia" w:ascii="宋体" w:hAnsi="宋体" w:eastAsia="仿宋_GB2312" w:cs="仿宋_GB2312"/>
                <w:spacing w:val="7"/>
                <w:sz w:val="21"/>
                <w:szCs w:val="21"/>
              </w:rPr>
              <w:t>并细化为三级指标和指标值。</w:t>
            </w:r>
          </w:p>
          <w:p>
            <w:pPr>
              <w:keepNext w:val="0"/>
              <w:keepLines w:val="0"/>
              <w:pageBreakBefore w:val="0"/>
              <w:widowControl w:val="0"/>
              <w:numPr>
                <w:ilvl w:val="0"/>
                <w:numId w:val="0"/>
              </w:numPr>
              <w:kinsoku/>
              <w:wordWrap/>
              <w:overflowPunct/>
              <w:topLinePunct w:val="0"/>
              <w:autoSpaceDE/>
              <w:autoSpaceDN/>
              <w:bidi w:val="0"/>
              <w:adjustRightInd/>
              <w:snapToGrid/>
              <w:spacing w:line="246" w:lineRule="exact"/>
              <w:ind w:firstLine="336" w:firstLineChars="150"/>
              <w:jc w:val="both"/>
              <w:textAlignment w:val="auto"/>
              <w:rPr>
                <w:rFonts w:ascii="宋体" w:hAnsi="宋体" w:eastAsia="宋体" w:cs="宋体"/>
                <w:spacing w:val="7"/>
                <w:sz w:val="21"/>
                <w:szCs w:val="21"/>
              </w:rPr>
            </w:pPr>
            <w:r>
              <w:rPr>
                <w:rFonts w:hint="eastAsia" w:ascii="宋体" w:hAnsi="宋体" w:eastAsia="仿宋_GB2312" w:cs="仿宋_GB2312"/>
                <w:spacing w:val="7"/>
                <w:sz w:val="21"/>
                <w:szCs w:val="21"/>
              </w:rPr>
              <w:t>3."财政拨款"</w:t>
            </w:r>
            <w:r>
              <w:rPr>
                <w:rFonts w:hint="eastAsia" w:ascii="宋体" w:hAnsi="宋体" w:eastAsia="仿宋_GB2312" w:cs="仿宋_GB2312"/>
                <w:spacing w:val="7"/>
                <w:sz w:val="21"/>
                <w:szCs w:val="21"/>
                <w:lang w:eastAsia="zh-CN"/>
              </w:rPr>
              <w:t>，</w:t>
            </w:r>
            <w:r>
              <w:rPr>
                <w:rFonts w:hint="eastAsia" w:ascii="宋体" w:hAnsi="宋体" w:eastAsia="仿宋_GB2312" w:cs="仿宋_GB2312"/>
                <w:spacing w:val="7"/>
                <w:sz w:val="21"/>
                <w:szCs w:val="21"/>
              </w:rPr>
              <w:t>项目涉及的全部财政资金投入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宋体" w:hAnsi="宋体" w:eastAsia="仿宋_GB2312"/>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960" w:lineRule="exact"/>
        <w:ind w:left="0" w:leftChars="0" w:right="0" w:rightChars="0" w:firstLine="0" w:firstLineChars="0"/>
        <w:jc w:val="center"/>
        <w:textAlignment w:val="auto"/>
        <w:rPr>
          <w:rFonts w:ascii="宋体" w:hAnsi="宋体"/>
          <w:color w:val="000000" w:themeColor="text1"/>
          <w14:textFill>
            <w14:solidFill>
              <w14:schemeClr w14:val="tx1"/>
            </w14:solidFill>
          </w14:textFill>
        </w:rPr>
      </w:pPr>
      <w:r>
        <w:rPr>
          <w:rFonts w:hint="eastAsia" w:ascii="宋体" w:hAnsi="宋体" w:eastAsia="仿宋_GB2312"/>
          <w:color w:val="000000" w:themeColor="text1"/>
          <w:sz w:val="30"/>
          <w:szCs w:val="3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243205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15pt;height:0pt;width:442.2pt;z-index:251659264;mso-width-relative:page;mso-height-relative:page;" filled="f" stroked="t" coordsize="21600,21600" o:gfxdata="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26id21gAAAAYBAAAPAAAAAAAAAAEAIAAAACIAAABkcnMvZG93bnJldi54bWxQSwEC&#10;FAAUAAAACACHTuJAMHIDLPYBAADlAwAADgAAAAAAAAABACAAAAAlAQAAZHJzL2Uyb0RvYy54bWxQ&#10;SwUGAAAAAAYABgBZAQAAjQUAAAAA&#10;">
                <v:fill on="f" focussize="0,0"/>
                <v:stroke weight="1.25pt" color="#000000" joinstyle="round"/>
                <v:imagedata o:title=""/>
                <o:lock v:ext="edit" aspectratio="f"/>
              </v:line>
            </w:pict>
          </mc:Fallback>
        </mc:AlternateContent>
      </w:r>
      <w:r>
        <w:rPr>
          <w:rFonts w:hint="eastAsia" w:ascii="宋体" w:hAnsi="宋体" w:eastAsia="仿宋_GB2312"/>
          <w:color w:val="000000" w:themeColor="text1"/>
          <w:sz w:val="30"/>
          <w:szCs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586105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6.15pt;height:0pt;width:442.2pt;z-index:251660288;mso-width-relative:page;mso-height-relative:page;" filled="f" stroked="t" coordsize="21600,21600" o:gfxdata="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wDKR1gAAAAYBAAAPAAAAAAAAAAEAIAAAACIAAABkcnMvZG93bnJldi54bWxQSwEC&#10;FAAUAAAACACHTuJAvqtg4/YBAADlAwAADgAAAAAAAAABACAAAAAlAQAAZHJzL2Uyb0RvYy54bWxQ&#10;SwUGAAAAAAYABgBZAQAAjQUAAAAA&#10;">
                <v:fill on="f" focussize="0,0"/>
                <v:stroke weight="1.25pt" color="#000000" joinstyle="round"/>
                <v:imagedata o:title=""/>
                <o:lock v:ext="edit" aspectratio="f"/>
              </v:line>
            </w:pict>
          </mc:Fallback>
        </mc:AlternateContent>
      </w:r>
      <w:r>
        <w:rPr>
          <w:rFonts w:ascii="宋体" w:hAnsi="宋体" w:eastAsia="仿宋_GB2312"/>
          <w:color w:val="000000" w:themeColor="text1"/>
          <w:spacing w:val="6"/>
          <w:sz w:val="30"/>
          <w:szCs w:val="3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4467225</wp:posOffset>
                </wp:positionH>
                <wp:positionV relativeFrom="paragraph">
                  <wp:posOffset>8321040</wp:posOffset>
                </wp:positionV>
                <wp:extent cx="1200150" cy="495300"/>
                <wp:effectExtent l="0" t="0" r="0" b="0"/>
                <wp:wrapNone/>
                <wp:docPr id="2" name="矩形 2"/>
                <wp:cNvGraphicFramePr/>
                <a:graphic xmlns:a="http://schemas.openxmlformats.org/drawingml/2006/main">
                  <a:graphicData uri="http://schemas.microsoft.com/office/word/2010/wordprocessingShape">
                    <wps:wsp>
                      <wps:cNvSpPr/>
                      <wps:spPr>
                        <a:xfrm>
                          <a:off x="0" y="0"/>
                          <a:ext cx="1200150" cy="4953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51.75pt;margin-top:655.2pt;height:39pt;width:94.5pt;z-index:251661312;mso-width-relative:page;mso-height-relative:page;" fillcolor="#FFFFFF" filled="t" stroked="f" coordsize="21600,21600" o:gfxdata="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F98fNkAAAANAQAADwAAAAAAAAABACAAAAAiAAAAZHJzL2Rvd25yZXYueG1sUEsBAhQAFAAAAAgA&#10;h07iQJ/b6UKyAQAAXwMAAA4AAAAAAAAAAQAgAAAAKAEAAGRycy9lMm9Eb2MueG1sUEsFBgAAAAAG&#10;AAYAWQEAAEwFAAAAAA==&#10;">
                <v:fill on="t" focussize="0,0"/>
                <v:stroke on="f"/>
                <v:imagedata o:title=""/>
                <o:lock v:ext="edit" aspectratio="f"/>
              </v:rect>
            </w:pict>
          </mc:Fallback>
        </mc:AlternateContent>
      </w:r>
      <w:r>
        <w:rPr>
          <w:rFonts w:hint="eastAsia" w:ascii="宋体" w:hAnsi="宋体" w:eastAsia="仿宋_GB2312"/>
          <w:color w:val="000000" w:themeColor="text1"/>
          <w:sz w:val="30"/>
          <w:szCs w:val="30"/>
          <w14:textFill>
            <w14:solidFill>
              <w14:schemeClr w14:val="tx1"/>
            </w14:solidFill>
          </w14:textFill>
        </w:rPr>
        <w:t>济源示范区乡村振兴局</w:t>
      </w:r>
      <w:r>
        <w:rPr>
          <w:rFonts w:hint="eastAsia" w:ascii="宋体" w:hAnsi="宋体" w:eastAsia="仿宋_GB2312"/>
          <w:color w:val="000000" w:themeColor="text1"/>
          <w:sz w:val="30"/>
          <w:szCs w:val="30"/>
          <w:lang w:eastAsia="zh-CN"/>
          <w14:textFill>
            <w14:solidFill>
              <w14:schemeClr w14:val="tx1"/>
            </w14:solidFill>
          </w14:textFill>
        </w:rPr>
        <w:t>办公室</w:t>
      </w:r>
      <w:r>
        <w:rPr>
          <w:rFonts w:hint="eastAsia" w:ascii="宋体" w:hAnsi="宋体" w:eastAsia="仿宋_GB2312"/>
          <w:color w:val="000000" w:themeColor="text1"/>
          <w:sz w:val="30"/>
          <w:szCs w:val="30"/>
          <w14:textFill>
            <w14:solidFill>
              <w14:schemeClr w14:val="tx1"/>
            </w14:solidFill>
          </w14:textFill>
        </w:rPr>
        <w:t xml:space="preserve">            202</w:t>
      </w:r>
      <w:r>
        <w:rPr>
          <w:rFonts w:hint="eastAsia" w:ascii="宋体" w:hAnsi="宋体" w:eastAsia="仿宋_GB2312"/>
          <w:color w:val="000000" w:themeColor="text1"/>
          <w:sz w:val="30"/>
          <w:szCs w:val="30"/>
          <w:lang w:val="en-US" w:eastAsia="zh-CN"/>
          <w14:textFill>
            <w14:solidFill>
              <w14:schemeClr w14:val="tx1"/>
            </w14:solidFill>
          </w14:textFill>
        </w:rPr>
        <w:t>2</w:t>
      </w:r>
      <w:r>
        <w:rPr>
          <w:rFonts w:hint="eastAsia" w:ascii="宋体" w:hAnsi="宋体" w:eastAsia="仿宋_GB2312"/>
          <w:color w:val="000000" w:themeColor="text1"/>
          <w:sz w:val="30"/>
          <w:szCs w:val="30"/>
          <w14:textFill>
            <w14:solidFill>
              <w14:schemeClr w14:val="tx1"/>
            </w14:solidFill>
          </w14:textFill>
        </w:rPr>
        <w:t>年</w:t>
      </w:r>
      <w:r>
        <w:rPr>
          <w:rFonts w:hint="eastAsia" w:ascii="宋体" w:hAnsi="宋体" w:eastAsia="仿宋_GB2312"/>
          <w:color w:val="000000" w:themeColor="text1"/>
          <w:sz w:val="30"/>
          <w:szCs w:val="30"/>
          <w:lang w:val="en-US" w:eastAsia="zh-CN"/>
          <w14:textFill>
            <w14:solidFill>
              <w14:schemeClr w14:val="tx1"/>
            </w14:solidFill>
          </w14:textFill>
        </w:rPr>
        <w:t>7</w:t>
      </w:r>
      <w:r>
        <w:rPr>
          <w:rFonts w:hint="eastAsia" w:ascii="宋体" w:hAnsi="宋体" w:eastAsia="仿宋_GB2312"/>
          <w:color w:val="000000" w:themeColor="text1"/>
          <w:sz w:val="30"/>
          <w:szCs w:val="30"/>
          <w14:textFill>
            <w14:solidFill>
              <w14:schemeClr w14:val="tx1"/>
            </w14:solidFill>
          </w14:textFill>
        </w:rPr>
        <w:t>月</w:t>
      </w:r>
      <w:r>
        <w:rPr>
          <w:rFonts w:hint="eastAsia" w:ascii="宋体" w:hAnsi="宋体" w:eastAsia="仿宋_GB2312"/>
          <w:color w:val="000000" w:themeColor="text1"/>
          <w:sz w:val="30"/>
          <w:szCs w:val="30"/>
          <w:lang w:val="en-US" w:eastAsia="zh-CN"/>
          <w14:textFill>
            <w14:solidFill>
              <w14:schemeClr w14:val="tx1"/>
            </w14:solidFill>
          </w14:textFill>
        </w:rPr>
        <w:t>25</w:t>
      </w:r>
      <w:r>
        <w:rPr>
          <w:rFonts w:hint="eastAsia" w:ascii="宋体" w:hAnsi="宋体" w:eastAsia="仿宋_GB2312"/>
          <w:color w:val="000000" w:themeColor="text1"/>
          <w:sz w:val="30"/>
          <w:szCs w:val="30"/>
          <w14:textFill>
            <w14:solidFill>
              <w14:schemeClr w14:val="tx1"/>
            </w14:solidFill>
          </w14:textFill>
        </w:rPr>
        <w:t>日印</w:t>
      </w:r>
      <w:r>
        <w:rPr>
          <w:rFonts w:hint="eastAsia" w:ascii="宋体" w:hAnsi="宋体" w:eastAsia="仿宋_GB2312"/>
          <w:color w:val="000000" w:themeColor="text1"/>
          <w:sz w:val="30"/>
          <w:szCs w:val="30"/>
          <w:lang w:eastAsia="zh-CN"/>
          <w14:textFill>
            <w14:solidFill>
              <w14:schemeClr w14:val="tx1"/>
            </w14:solidFill>
          </w14:textFill>
        </w:rPr>
        <w:t>发</w:t>
      </w:r>
    </w:p>
    <w:sectPr>
      <w:footerReference r:id="rId6" w:type="default"/>
      <w:footerReference r:id="rId7" w:type="even"/>
      <w:pgSz w:w="11906" w:h="16838"/>
      <w:pgMar w:top="1814" w:right="1474" w:bottom="1757" w:left="1588" w:header="851" w:footer="1304"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right="210" w:rightChars="100"/>
      <w:jc w:val="righ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left="210" w:leftChars="100" w:right="210" w:rightChars="100"/>
      <w:jc w:val="left"/>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9" w:lineRule="exact"/>
      <w:ind w:firstLine="35"/>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posOffset>-913130</wp:posOffset>
              </wp:positionH>
              <wp:positionV relativeFrom="paragraph">
                <wp:posOffset>-827405</wp:posOffset>
              </wp:positionV>
              <wp:extent cx="978535" cy="612775"/>
              <wp:effectExtent l="182880" t="0" r="0" b="0"/>
              <wp:wrapNone/>
              <wp:docPr id="9" name="文本框 9"/>
              <wp:cNvGraphicFramePr/>
              <a:graphic xmlns:a="http://schemas.openxmlformats.org/drawingml/2006/main">
                <a:graphicData uri="http://schemas.microsoft.com/office/word/2010/wordprocessingShape">
                  <wps:wsp>
                    <wps:cNvSpPr txBox="1"/>
                    <wps:spPr>
                      <a:xfrm rot="5400000">
                        <a:off x="0" y="0"/>
                        <a:ext cx="978535" cy="612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71.9pt;margin-top:-65.15pt;height:48.25pt;width:77.05pt;mso-position-horizontal-relative:margin;rotation:5898240f;z-index:251661312;mso-width-relative:page;mso-height-relative:page;" filled="f" stroked="f" coordsize="21600,21600" o:gfxdata="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&#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ffgSq1wAAAAwBAAAPAAAAAAAAAAEAIAAAACIAAABk&#10;cnMvZG93bnJldi54bWxQSwECFAAUAAAACACHTuJA+chZ90ACAABvBAAADgAAAAAAAAABACAAAAAm&#10;AQAAZHJzL2Uyb0RvYy54bWxQSwUGAAAAAAYABgBZAQAA2AUAAAAA&#10;">
              <v:fill on="f" focussize="0,0"/>
              <v:stroke on="f" weight="0.5pt"/>
              <v:imagedata o:title=""/>
              <o:lock v:ext="edit" aspectratio="f"/>
              <v:textbox inset="0mm,0mm,0mm,0mm">
                <w:txbxContent>
                  <w:p>
                    <w:pPr>
                      <w:pStyle w:val="8"/>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5" w:rightChars="150"/>
      <w:rPr>
        <w:rFonts w:hint="eastAsia"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2ABBC"/>
    <w:multiLevelType w:val="singleLevel"/>
    <w:tmpl w:val="ADC2ABB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Yzc5OTAxMTNlMjdjZDk4YzNhMjRmZGU2Y2Q2NDUifQ=="/>
  </w:docVars>
  <w:rsids>
    <w:rsidRoot w:val="189053A0"/>
    <w:rsid w:val="036107DF"/>
    <w:rsid w:val="072C632B"/>
    <w:rsid w:val="093064E1"/>
    <w:rsid w:val="0D7E392E"/>
    <w:rsid w:val="0E8F3BAA"/>
    <w:rsid w:val="0F3118C7"/>
    <w:rsid w:val="14694157"/>
    <w:rsid w:val="17F451CF"/>
    <w:rsid w:val="189053A0"/>
    <w:rsid w:val="1C491214"/>
    <w:rsid w:val="1DFB2663"/>
    <w:rsid w:val="22B37F05"/>
    <w:rsid w:val="24F105A9"/>
    <w:rsid w:val="2A3A7029"/>
    <w:rsid w:val="2B4F4C01"/>
    <w:rsid w:val="3B0675FA"/>
    <w:rsid w:val="3E6E2F0C"/>
    <w:rsid w:val="3F077BA5"/>
    <w:rsid w:val="43F00CAE"/>
    <w:rsid w:val="446F568F"/>
    <w:rsid w:val="45630DDC"/>
    <w:rsid w:val="498A69B1"/>
    <w:rsid w:val="4A677164"/>
    <w:rsid w:val="52F42171"/>
    <w:rsid w:val="56DC71A4"/>
    <w:rsid w:val="5E6F08FE"/>
    <w:rsid w:val="634F2284"/>
    <w:rsid w:val="65F03264"/>
    <w:rsid w:val="67CC4FB6"/>
    <w:rsid w:val="685E05B2"/>
    <w:rsid w:val="68713027"/>
    <w:rsid w:val="6BCEDA68"/>
    <w:rsid w:val="6E76781B"/>
    <w:rsid w:val="72456B4B"/>
    <w:rsid w:val="76E917C2"/>
    <w:rsid w:val="77D221D2"/>
    <w:rsid w:val="7D0742B8"/>
    <w:rsid w:val="EDD77AD6"/>
    <w:rsid w:val="FBF79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uiPriority w:val="0"/>
    <w:pPr>
      <w:keepNext/>
      <w:keepLines/>
      <w:spacing w:line="576" w:lineRule="auto"/>
      <w:outlineLvl w:val="0"/>
    </w:pPr>
    <w:rPr>
      <w:b/>
      <w:kern w:val="44"/>
      <w:sz w:val="44"/>
      <w:szCs w:val="2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UserStyle_0"/>
    <w:basedOn w:val="3"/>
    <w:next w:val="1"/>
    <w:qFormat/>
    <w:uiPriority w:val="0"/>
    <w:pPr>
      <w:ind w:firstLine="420" w:firstLineChars="200"/>
    </w:pPr>
    <w:rPr>
      <w:rFonts w:ascii="Calibri" w:hAnsi="Calibri" w:cs="黑体"/>
      <w:szCs w:val="24"/>
    </w:rPr>
  </w:style>
  <w:style w:type="paragraph" w:customStyle="1" w:styleId="3">
    <w:name w:val="UserStyle_1"/>
    <w:basedOn w:val="1"/>
    <w:qFormat/>
    <w:uiPriority w:val="99"/>
    <w:pPr>
      <w:spacing w:after="120"/>
    </w:pPr>
    <w:rPr>
      <w:sz w:val="32"/>
    </w:rPr>
  </w:style>
  <w:style w:type="paragraph" w:styleId="5">
    <w:name w:val="Body Text"/>
    <w:basedOn w:val="1"/>
    <w:next w:val="6"/>
    <w:unhideWhenUsed/>
    <w:qFormat/>
    <w:uiPriority w:val="99"/>
  </w:style>
  <w:style w:type="paragraph" w:styleId="6">
    <w:name w:val="Body Text 2"/>
    <w:basedOn w:val="1"/>
    <w:unhideWhenUsed/>
    <w:qFormat/>
    <w:uiPriority w:val="99"/>
    <w:pPr>
      <w:spacing w:after="120" w:line="480" w:lineRule="auto"/>
    </w:pPr>
  </w:style>
  <w:style w:type="paragraph" w:styleId="7">
    <w:name w:val="Body Text Indent"/>
    <w:basedOn w:val="1"/>
    <w:qFormat/>
    <w:uiPriority w:val="99"/>
    <w:pPr>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Body Text First Indent"/>
    <w:basedOn w:val="5"/>
    <w:next w:val="11"/>
    <w:unhideWhenUsed/>
    <w:qFormat/>
    <w:uiPriority w:val="99"/>
    <w:pPr>
      <w:ind w:firstLine="420" w:firstLineChars="100"/>
    </w:pPr>
  </w:style>
  <w:style w:type="paragraph" w:styleId="11">
    <w:name w:val="Body Text First Indent 2"/>
    <w:basedOn w:val="7"/>
    <w:next w:val="12"/>
    <w:qFormat/>
    <w:uiPriority w:val="99"/>
    <w:pPr>
      <w:spacing w:after="120"/>
      <w:ind w:firstLine="420" w:firstLineChars="200"/>
    </w:pPr>
  </w:style>
  <w:style w:type="paragraph" w:customStyle="1" w:styleId="12">
    <w:name w:val="样式 正文首行缩进 2 + Arial"/>
    <w:basedOn w:val="1"/>
    <w:next w:val="1"/>
    <w:qFormat/>
    <w:uiPriority w:val="0"/>
    <w:pPr>
      <w:spacing w:after="120" w:line="320" w:lineRule="atLeast"/>
      <w:ind w:firstLine="200" w:firstLineChars="200"/>
    </w:pPr>
    <w:rPr>
      <w:rFonts w:ascii="Arial" w:hAnsi="Arial"/>
      <w:kern w:val="0"/>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7119</Words>
  <Characters>7255</Characters>
  <Lines>0</Lines>
  <Paragraphs>0</Paragraphs>
  <TotalTime>1</TotalTime>
  <ScaleCrop>false</ScaleCrop>
  <LinksUpToDate>false</LinksUpToDate>
  <CharactersWithSpaces>7273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2022-01-15T15:19:00Z</dcterms:created>
  <dc:creator>郭沛</dc:creator>
  <cp:lastModifiedBy>郭沛</cp:lastModifiedBy>
  <cp:lastPrinted>2022-07-29T01:09:00Z</cp:lastPrinted>
  <dcterms:modified xsi:type="dcterms:W3CDTF">2022-08-09T13:01:04Z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67C2D23098674537BC784DEDC7ED4787</vt:lpwstr>
  </property>
</Properties>
</file>