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20" w:type="dxa"/>
        <w:tblInd w:w="0" w:type="dxa"/>
        <w:tblLayout w:type="autofit"/>
        <w:tblCellMar>
          <w:top w:w="0" w:type="dxa"/>
          <w:left w:w="0" w:type="dxa"/>
          <w:bottom w:w="0" w:type="dxa"/>
          <w:right w:w="0" w:type="dxa"/>
        </w:tblCellMar>
      </w:tblPr>
      <w:tblGrid>
        <w:gridCol w:w="8820"/>
      </w:tblGrid>
      <w:tr>
        <w:tblPrEx>
          <w:tblCellMar>
            <w:top w:w="0" w:type="dxa"/>
            <w:left w:w="0" w:type="dxa"/>
            <w:bottom w:w="0" w:type="dxa"/>
            <w:right w:w="0" w:type="dxa"/>
          </w:tblCellMar>
        </w:tblPrEx>
        <w:trPr>
          <w:trHeight w:val="4649" w:hRule="exact"/>
        </w:trPr>
        <w:tc>
          <w:tcPr>
            <w:tcW w:w="8820" w:type="dxa"/>
            <w:vAlign w:val="bottom"/>
          </w:tcPr>
          <w:p>
            <w:pPr>
              <w:jc w:val="center"/>
              <w:rPr>
                <w:rFonts w:cs="Arial Unicode MS"/>
              </w:rPr>
            </w:pPr>
            <w:r>
              <w:rPr>
                <w:rFonts w:hint="eastAsia" w:cs="Arial Unicode MS"/>
              </w:rPr>
              <w:t>济乡振〔</w:t>
            </w:r>
            <w:r>
              <w:rPr>
                <w:rFonts w:cs="Arial Unicode MS"/>
              </w:rPr>
              <w:t>20</w:t>
            </w:r>
            <w:r>
              <w:rPr>
                <w:rFonts w:hint="eastAsia" w:cs="Arial Unicode MS"/>
              </w:rPr>
              <w:t>21〕14号</w:t>
            </w:r>
            <w:r>
              <w:rPr>
                <w:rFonts w:hint="eastAsia" w:eastAsia="仿宋" w:cs="仿宋"/>
              </w:rPr>
              <w:t xml:space="preserve">       </w:t>
            </w:r>
            <w:r>
              <w:rPr>
                <w:rFonts w:hint="eastAsia" w:eastAsia="宋体"/>
              </w:rPr>
              <w:t xml:space="preserve">           </w:t>
            </w:r>
            <w:r>
              <w:rPr>
                <w:rFonts w:hint="eastAsia" w:eastAsia="宋体"/>
                <w:sz w:val="32"/>
                <w:szCs w:val="32"/>
              </w:rPr>
              <w:t xml:space="preserve">   </w:t>
            </w:r>
            <w:r>
              <w:rPr>
                <w:rFonts w:eastAsia="宋体"/>
                <w:sz w:val="32"/>
                <w:szCs w:val="32"/>
              </w:rPr>
              <w:t xml:space="preserve"> </w:t>
            </w:r>
            <w:r>
              <w:rPr>
                <w:rFonts w:hint="eastAsia" w:eastAsia="宋体"/>
                <w:sz w:val="32"/>
                <w:szCs w:val="32"/>
              </w:rPr>
              <w:t xml:space="preserve">       </w:t>
            </w:r>
          </w:p>
        </w:tc>
      </w:tr>
    </w:tbl>
    <w:p>
      <w:pPr>
        <w:spacing w:line="640" w:lineRule="exact"/>
        <w:jc w:val="center"/>
        <w:rPr>
          <w:rFonts w:eastAsia="方正小标宋简体" w:cs="华文中宋"/>
          <w:bCs/>
          <w:spacing w:val="0"/>
          <w:sz w:val="44"/>
          <w:szCs w:val="44"/>
        </w:rPr>
      </w:pPr>
    </w:p>
    <w:p>
      <w:pPr>
        <w:pStyle w:val="2"/>
        <w:spacing w:after="0"/>
        <w:ind w:firstLine="664"/>
        <w:rPr>
          <w:rFonts w:ascii="宋体" w:hAnsi="宋体"/>
        </w:rPr>
      </w:pPr>
    </w:p>
    <w:p>
      <w:pPr>
        <w:spacing w:line="600" w:lineRule="exact"/>
        <w:jc w:val="center"/>
        <w:rPr>
          <w:rFonts w:eastAsia="方正小标宋简体"/>
          <w:sz w:val="44"/>
          <w:szCs w:val="44"/>
        </w:rPr>
      </w:pPr>
      <w:r>
        <w:rPr>
          <w:rFonts w:hint="eastAsia" w:eastAsia="方正小标宋简体"/>
          <w:sz w:val="44"/>
          <w:szCs w:val="44"/>
        </w:rPr>
        <w:t>济源示范区乡村振兴局</w:t>
      </w:r>
    </w:p>
    <w:p>
      <w:pPr>
        <w:spacing w:line="600" w:lineRule="exact"/>
        <w:jc w:val="center"/>
        <w:rPr>
          <w:rFonts w:eastAsia="方正小标宋简体"/>
          <w:sz w:val="44"/>
          <w:szCs w:val="44"/>
        </w:rPr>
      </w:pPr>
      <w:r>
        <w:rPr>
          <w:rFonts w:hint="eastAsia" w:eastAsia="方正小标宋简体"/>
          <w:sz w:val="44"/>
          <w:szCs w:val="44"/>
        </w:rPr>
        <w:t>印发《关于做好巩固拓展脱贫攻坚成果和乡村振兴项目库建设的实施方案》的通知</w:t>
      </w:r>
    </w:p>
    <w:p>
      <w:pPr>
        <w:spacing w:line="600" w:lineRule="exact"/>
        <w:ind w:firstLine="640"/>
      </w:pPr>
    </w:p>
    <w:p>
      <w:pPr>
        <w:spacing w:line="600" w:lineRule="exact"/>
      </w:pPr>
      <w:r>
        <w:rPr>
          <w:rFonts w:hint="eastAsia"/>
        </w:rPr>
        <w:t>各镇人民政府，各有关单位：</w:t>
      </w:r>
    </w:p>
    <w:p>
      <w:pPr>
        <w:spacing w:line="600" w:lineRule="exact"/>
        <w:ind w:firstLine="640"/>
      </w:pPr>
      <w:r>
        <w:rPr>
          <w:rFonts w:hint="eastAsia"/>
        </w:rPr>
        <w:t>现将《关于做好巩固拓展脱贫攻坚成果和乡村振兴项目库建设的实施方案》印发给你们，请结合实际贯彻落实。</w:t>
      </w:r>
    </w:p>
    <w:p>
      <w:pPr>
        <w:pStyle w:val="2"/>
        <w:spacing w:after="0" w:line="600" w:lineRule="exact"/>
        <w:ind w:firstLine="624"/>
        <w:rPr>
          <w:rFonts w:ascii="宋体" w:hAnsi="宋体"/>
          <w:sz w:val="30"/>
          <w:szCs w:val="30"/>
        </w:rPr>
      </w:pPr>
    </w:p>
    <w:p/>
    <w:p>
      <w:pPr>
        <w:spacing w:line="600" w:lineRule="exact"/>
        <w:rPr>
          <w:sz w:val="32"/>
          <w:szCs w:val="32"/>
        </w:rPr>
      </w:pPr>
    </w:p>
    <w:p>
      <w:pPr>
        <w:pStyle w:val="2"/>
        <w:spacing w:after="0" w:line="600" w:lineRule="exact"/>
        <w:ind w:firstLine="5644" w:firstLineChars="1700"/>
        <w:rPr>
          <w:rFonts w:ascii="宋体" w:hAnsi="宋体"/>
        </w:rPr>
      </w:pPr>
      <w:r>
        <w:rPr>
          <w:rFonts w:hint="eastAsia" w:ascii="宋体" w:hAnsi="宋体"/>
          <w:szCs w:val="32"/>
        </w:rPr>
        <w:t xml:space="preserve">2021年9月12日 </w:t>
      </w:r>
    </w:p>
    <w:p>
      <w:pPr>
        <w:ind w:firstLine="640"/>
        <w:rPr>
          <w:sz w:val="32"/>
          <w:szCs w:val="32"/>
        </w:rPr>
      </w:pPr>
    </w:p>
    <w:p>
      <w:pPr>
        <w:spacing w:line="560" w:lineRule="exact"/>
        <w:jc w:val="center"/>
      </w:pPr>
      <w:r>
        <w:rPr>
          <w:rFonts w:hint="eastAsia" w:eastAsia="方正小标宋简体"/>
          <w:sz w:val="44"/>
          <w:szCs w:val="44"/>
        </w:rPr>
        <w:t>关于做好巩固拓展脱贫攻坚成果和乡村振兴项目库建设的实施方案</w:t>
      </w:r>
    </w:p>
    <w:p>
      <w:pPr>
        <w:spacing w:line="560" w:lineRule="exact"/>
        <w:ind w:firstLine="640"/>
      </w:pPr>
    </w:p>
    <w:p>
      <w:pPr>
        <w:spacing w:line="560" w:lineRule="exact"/>
        <w:ind w:firstLine="640"/>
      </w:pPr>
      <w:r>
        <w:rPr>
          <w:rFonts w:hint="eastAsia"/>
        </w:rPr>
        <w:t>为深入贯彻落实党中央、国务院和省委、省政府关于实现巩固拓展脱贫攻坚成果同乡村振兴有效衔接的部署安排，适应新形势、新任务、新要求，原脱贫攻坚项目库调整完善为巩固拓展脱贫攻坚成果和乡村振兴项目库。按照《河南省乡村振兴局关于做好县级巩固拓展脱贫攻坚成果和乡村振兴项目库建设的指导意见》（豫乡振</w:t>
      </w:r>
      <w:r>
        <w:rPr>
          <w:rFonts w:hint="eastAsia" w:eastAsia="仿宋" w:cs="仿宋"/>
        </w:rPr>
        <w:t>〔2021〕11号</w:t>
      </w:r>
      <w:r>
        <w:rPr>
          <w:rFonts w:hint="eastAsia"/>
        </w:rPr>
        <w:t>）和《河南省财政衔接推进乡村振兴补助资金管理办法》（豫财农综</w:t>
      </w:r>
      <w:r>
        <w:rPr>
          <w:rFonts w:hint="eastAsia" w:eastAsia="仿宋" w:cs="仿宋"/>
        </w:rPr>
        <w:t>〔2021〕9号</w:t>
      </w:r>
      <w:r>
        <w:rPr>
          <w:rFonts w:hint="eastAsia"/>
        </w:rPr>
        <w:t>）的有关要求，结合济源实际，为进一步做好</w:t>
      </w:r>
      <w:r>
        <w:rPr>
          <w:rFonts w:hint="eastAsia"/>
          <w:lang w:eastAsia="zh-CN"/>
        </w:rPr>
        <w:t>巩固拓展脱贫攻坚成果</w:t>
      </w:r>
      <w:r>
        <w:rPr>
          <w:rFonts w:hint="eastAsia"/>
        </w:rPr>
        <w:t>和乡村振兴项目库建设，提出如下实施方案。</w:t>
      </w:r>
    </w:p>
    <w:p>
      <w:pPr>
        <w:spacing w:line="560" w:lineRule="exact"/>
        <w:ind w:firstLine="640"/>
        <w:rPr>
          <w:rFonts w:eastAsia="黑体"/>
        </w:rPr>
      </w:pPr>
      <w:r>
        <w:rPr>
          <w:rFonts w:hint="eastAsia" w:eastAsia="黑体"/>
        </w:rPr>
        <w:t>一、指导思想</w:t>
      </w:r>
    </w:p>
    <w:p>
      <w:pPr>
        <w:spacing w:line="560" w:lineRule="exact"/>
        <w:ind w:firstLine="640"/>
      </w:pPr>
      <w:r>
        <w:rPr>
          <w:rFonts w:hint="eastAsia"/>
        </w:rPr>
        <w:t>以习近平新时代中国特色社会主义思想为指导，深入贯彻党的十九大和十九届二中、三中、四中、五中全会精神，认真落实《中共河南省委河南省人民政府关于实现巩固拓展脱贫攻坚成果同乡村振兴有效衔接的意见》（豫发</w:t>
      </w:r>
      <w:r>
        <w:rPr>
          <w:rFonts w:hint="eastAsia" w:eastAsia="仿宋" w:cs="仿宋"/>
        </w:rPr>
        <w:t>〔2021〕5号</w:t>
      </w:r>
      <w:r>
        <w:rPr>
          <w:rFonts w:hint="eastAsia"/>
        </w:rPr>
        <w:t>）、《济源示范区党工委济源示范区管委会关于实现巩固拓展脱贫攻坚成果同乡村振兴有效衔接</w:t>
      </w:r>
      <w:bookmarkStart w:id="0" w:name="_GoBack"/>
      <w:bookmarkEnd w:id="0"/>
      <w:r>
        <w:rPr>
          <w:rFonts w:hint="eastAsia"/>
        </w:rPr>
        <w:t>的实施意见》（济区发</w:t>
      </w:r>
      <w:r>
        <w:rPr>
          <w:rFonts w:hint="eastAsia" w:eastAsia="仿宋" w:cs="仿宋"/>
        </w:rPr>
        <w:t>〔2021〕10号</w:t>
      </w:r>
      <w:r>
        <w:rPr>
          <w:rFonts w:hint="eastAsia"/>
        </w:rPr>
        <w:t>）精神，坚持中央统筹、省负总责、市县乡抓落实的工作机制，继续充分发挥项目库作用，建立完善项目管理制度，加强项目库建设管理，推进巩固拓展脱贫攻坚成果同乡村振兴有效衔接。</w:t>
      </w:r>
    </w:p>
    <w:p>
      <w:pPr>
        <w:spacing w:line="560" w:lineRule="exact"/>
        <w:ind w:firstLine="640"/>
        <w:rPr>
          <w:rFonts w:eastAsia="黑体"/>
        </w:rPr>
      </w:pPr>
      <w:r>
        <w:rPr>
          <w:rFonts w:hint="eastAsia" w:eastAsia="黑体"/>
        </w:rPr>
        <w:t>二、基本原则</w:t>
      </w:r>
    </w:p>
    <w:p>
      <w:pPr>
        <w:spacing w:line="560" w:lineRule="exact"/>
        <w:ind w:firstLine="640"/>
      </w:pPr>
      <w:r>
        <w:rPr>
          <w:rFonts w:hint="eastAsia" w:eastAsia="楷体_GB2312" w:cs="楷体_GB2312"/>
        </w:rPr>
        <w:t>（一）坚持总体目标。</w:t>
      </w:r>
      <w:r>
        <w:rPr>
          <w:rFonts w:hint="eastAsia"/>
        </w:rPr>
        <w:t>落实“四个不摘”要求，保持项目库建设管理要求总体稳定，确保项目入库程序合规、编制内容详实。聚焦重点，将巩固拓展脱贫攻坚成果放在突出位置，注重巩固拓展脱贫攻坚成果项目的谋划，强化项目储备，确保资金使用精准、安全、高效。</w:t>
      </w:r>
    </w:p>
    <w:p>
      <w:pPr>
        <w:spacing w:line="560" w:lineRule="exact"/>
        <w:ind w:firstLine="640"/>
      </w:pPr>
      <w:r>
        <w:rPr>
          <w:rFonts w:hint="eastAsia" w:eastAsia="楷体_GB2312" w:cs="楷体_GB2312"/>
        </w:rPr>
        <w:t>（二）坚持群众参与。</w:t>
      </w:r>
      <w:r>
        <w:rPr>
          <w:rFonts w:hint="eastAsia"/>
        </w:rPr>
        <w:t>充分尊重群众意愿，落实群众民主议事决策机制，提高其知晓度、参与度，切实增强群众获得感。项目入库及实施全过程严格落实公告公示制度，接受群众和社会监督，实行阳光化管理。</w:t>
      </w:r>
    </w:p>
    <w:p>
      <w:pPr>
        <w:spacing w:line="560" w:lineRule="exact"/>
        <w:ind w:firstLine="640"/>
      </w:pPr>
      <w:r>
        <w:rPr>
          <w:rFonts w:hint="eastAsia" w:eastAsia="楷体_GB2312" w:cs="楷体_GB2312"/>
        </w:rPr>
        <w:t>（三）坚持动态管理。</w:t>
      </w:r>
      <w:r>
        <w:rPr>
          <w:rFonts w:hint="eastAsia"/>
        </w:rPr>
        <w:t>项目库建设坚持科学合理、可操作性强，在建设中不断完善。纳入项目库的项目要根据巩固拓展脱贫攻坚成果需求、政策调整变化等情况进行动态调整，做到有进有出。根据项目进展、项目效果等情况，及时更新调整相关项目内容。</w:t>
      </w:r>
    </w:p>
    <w:p>
      <w:pPr>
        <w:spacing w:line="560" w:lineRule="exact"/>
        <w:ind w:firstLine="640"/>
        <w:rPr>
          <w:rFonts w:eastAsia="黑体"/>
        </w:rPr>
      </w:pPr>
      <w:r>
        <w:rPr>
          <w:rFonts w:hint="eastAsia" w:eastAsia="黑体"/>
        </w:rPr>
        <w:t>三、编制内容</w:t>
      </w:r>
    </w:p>
    <w:p>
      <w:pPr>
        <w:spacing w:line="560" w:lineRule="exact"/>
        <w:ind w:firstLine="640"/>
        <w:rPr>
          <w:rFonts w:eastAsia="楷体_GB2312" w:cs="楷体_GB2312"/>
        </w:rPr>
      </w:pPr>
      <w:r>
        <w:rPr>
          <w:rFonts w:hint="eastAsia" w:eastAsia="楷体_GB2312" w:cs="楷体_GB2312"/>
        </w:rPr>
        <w:t>（一）项目范围</w:t>
      </w:r>
    </w:p>
    <w:p>
      <w:pPr>
        <w:spacing w:line="560" w:lineRule="exact"/>
        <w:ind w:firstLine="640"/>
        <w:rPr>
          <w:bCs/>
        </w:rPr>
      </w:pPr>
      <w:r>
        <w:rPr>
          <w:rFonts w:hint="eastAsia"/>
          <w:bCs/>
        </w:rPr>
        <w:t>根据衔接推进乡村振兴补助资金支出范围，将支持巩固拓展脱贫攻坚成果同乡村振兴有效衔接的相关项目纳入项目库。</w:t>
      </w:r>
    </w:p>
    <w:p>
      <w:pPr>
        <w:spacing w:line="560" w:lineRule="exact"/>
        <w:ind w:firstLine="640"/>
      </w:pPr>
      <w:r>
        <w:rPr>
          <w:rFonts w:hint="eastAsia"/>
          <w:b/>
          <w:bCs/>
        </w:rPr>
        <w:t>1.支持巩固拓展脱贫攻坚成果</w:t>
      </w:r>
    </w:p>
    <w:p>
      <w:pPr>
        <w:spacing w:line="560" w:lineRule="exact"/>
        <w:ind w:firstLine="640"/>
      </w:pPr>
      <w:r>
        <w:rPr>
          <w:rFonts w:hint="eastAsia"/>
        </w:rPr>
        <w:t>（1）健全防止返贫致贫监测和帮扶机制，加强监测预警，强化及时帮扶，对监测帮扶对象采取有针对性的预防性措施和事后帮扶措施。支持产业发展、小额信贷贴息、生产经营和劳动技能培训、公益岗位补助等。</w:t>
      </w:r>
    </w:p>
    <w:p>
      <w:pPr>
        <w:spacing w:line="560" w:lineRule="exact"/>
        <w:ind w:firstLine="640"/>
      </w:pPr>
      <w:r>
        <w:rPr>
          <w:rFonts w:hint="eastAsia"/>
        </w:rPr>
        <w:t>（2）外出务工脱贫劳动力（含监测帮扶对象）稳定就业，可对跨省就业的脱贫劳动力安排一次性交通补助。采取以工代赈、生产奖补、劳务补助等方式，促进返乡在乡脱贫劳动力发展产业和就业增收。继续对符合条件的脱贫家庭（含监测帮扶对象家庭）给予“雨露计划”补助。对农业产业化龙头企业、新型农业经营主体及其他工商企业等积极吸纳脱贫劳动力稳定就业达到一定规模的，可给予一定补助。</w:t>
      </w:r>
    </w:p>
    <w:p>
      <w:pPr>
        <w:spacing w:line="560" w:lineRule="exact"/>
        <w:ind w:firstLine="640"/>
        <w:rPr>
          <w:b/>
          <w:bCs/>
        </w:rPr>
      </w:pPr>
      <w:r>
        <w:rPr>
          <w:rFonts w:hint="eastAsia"/>
          <w:b/>
          <w:bCs/>
        </w:rPr>
        <w:t>2.支持衔接推进乡村振兴</w:t>
      </w:r>
    </w:p>
    <w:p>
      <w:pPr>
        <w:spacing w:line="560" w:lineRule="exact"/>
        <w:ind w:firstLine="640"/>
      </w:pPr>
      <w:r>
        <w:rPr>
          <w:rFonts w:hint="eastAsia"/>
        </w:rPr>
        <w:t>（1）培育壮大特色优势产业，支持农业品种培优、品质提升、品牌打造。推动产销对接和消费帮扶，解决农产品“卖难”问题，支持新型农业经营主体、社会化服务组织提供相对稳定的产销对接服务。围绕完善上下游产业链条，支持必要的产业配套基础设施建设、生产设施设备、原材料基地建设、农产品初加工设施设备及必要小型仓储物流设施建设等。支持脱贫村和非贫困村集体经济发展。</w:t>
      </w:r>
    </w:p>
    <w:p>
      <w:pPr>
        <w:spacing w:line="560" w:lineRule="exact"/>
        <w:ind w:firstLine="640"/>
      </w:pPr>
      <w:r>
        <w:rPr>
          <w:rFonts w:hint="eastAsia"/>
        </w:rPr>
        <w:t>（2）补齐必要的农村人居环境整治和小型公益性基础设施建设短板。主要包括水、电、路、网等农业生产配套设施，以及污水、坑塘治理和垃圾清运等小型公益性生活设施。</w:t>
      </w:r>
    </w:p>
    <w:p>
      <w:pPr>
        <w:spacing w:line="560" w:lineRule="exact"/>
        <w:ind w:firstLine="640"/>
      </w:pPr>
      <w:r>
        <w:rPr>
          <w:rFonts w:hint="eastAsia"/>
        </w:rPr>
        <w:t>（3）实施人口较少民族发展、少数民族特色产业和民族村发展，以工代赈项目，欠发达国有林场巩固发展。</w:t>
      </w:r>
    </w:p>
    <w:p>
      <w:pPr>
        <w:spacing w:line="560" w:lineRule="exact"/>
        <w:ind w:firstLine="640"/>
        <w:rPr>
          <w:b/>
          <w:bCs/>
        </w:rPr>
      </w:pPr>
      <w:r>
        <w:rPr>
          <w:rFonts w:hint="eastAsia"/>
          <w:b/>
          <w:bCs/>
        </w:rPr>
        <w:t>3.负面清单</w:t>
      </w:r>
    </w:p>
    <w:p>
      <w:pPr>
        <w:spacing w:line="560" w:lineRule="exact"/>
        <w:ind w:firstLine="640"/>
      </w:pPr>
      <w:r>
        <w:rPr>
          <w:rFonts w:hint="eastAsia"/>
        </w:rPr>
        <w:t>中央、省、市衔接资金管理办法中明确规定的负面清单项目不得入库；未明确绩效目标的、对环境生态保护造成影响的和违反基本农田保护政策的项目不得入库。</w:t>
      </w:r>
    </w:p>
    <w:p>
      <w:pPr>
        <w:spacing w:line="560" w:lineRule="exact"/>
        <w:ind w:firstLine="640"/>
        <w:rPr>
          <w:rFonts w:eastAsia="楷体_GB2312" w:cs="楷体_GB2312"/>
        </w:rPr>
      </w:pPr>
      <w:r>
        <w:rPr>
          <w:rFonts w:hint="eastAsia" w:eastAsia="楷体_GB2312" w:cs="楷体_GB2312"/>
        </w:rPr>
        <w:t>（二）项目类型</w:t>
      </w:r>
    </w:p>
    <w:p>
      <w:pPr>
        <w:spacing w:line="560" w:lineRule="exact"/>
        <w:ind w:firstLine="640"/>
      </w:pPr>
      <w:r>
        <w:rPr>
          <w:rFonts w:hint="eastAsia"/>
        </w:rPr>
        <w:t>根据全国防返贫监测信息系统中调整优化后的项目分类确定项目类别。项目类型主要包括：产业发展、就业项目、乡村建设行动、易地搬迁后扶、巩固三保障成果、乡村治理和精神文明建设、项目管理费、其他等八大类项目（后附项目具体分类）。</w:t>
      </w:r>
    </w:p>
    <w:p>
      <w:pPr>
        <w:spacing w:line="560" w:lineRule="exact"/>
        <w:ind w:firstLine="640"/>
        <w:rPr>
          <w:rFonts w:eastAsia="楷体_GB2312" w:cs="楷体_GB2312"/>
        </w:rPr>
      </w:pPr>
      <w:r>
        <w:rPr>
          <w:rFonts w:hint="eastAsia" w:eastAsia="楷体_GB2312" w:cs="楷体_GB2312"/>
        </w:rPr>
        <w:t>（三）主要内容</w:t>
      </w:r>
    </w:p>
    <w:p>
      <w:pPr>
        <w:spacing w:line="560" w:lineRule="exact"/>
        <w:ind w:firstLine="640"/>
      </w:pPr>
      <w:r>
        <w:rPr>
          <w:rFonts w:hint="eastAsia"/>
        </w:rPr>
        <w:t>纳入项目库的项目应包括以下基本内容：项目名称、项目类型、建设性质、实施地点、时间进度、责任单位、建设任务、资金规模和筹资方式、受益对象、绩效目标、群众参与和帮扶机制等情况。</w:t>
      </w:r>
    </w:p>
    <w:p>
      <w:pPr>
        <w:spacing w:line="560" w:lineRule="exact"/>
        <w:ind w:firstLine="640"/>
        <w:rPr>
          <w:rFonts w:eastAsia="黑体"/>
        </w:rPr>
      </w:pPr>
      <w:r>
        <w:rPr>
          <w:rFonts w:hint="eastAsia" w:eastAsia="黑体"/>
        </w:rPr>
        <w:t>四、编报程序</w:t>
      </w:r>
    </w:p>
    <w:p>
      <w:pPr>
        <w:spacing w:line="560" w:lineRule="exact"/>
        <w:ind w:firstLine="640"/>
      </w:pPr>
      <w:r>
        <w:rPr>
          <w:rFonts w:hint="eastAsia"/>
        </w:rPr>
        <w:t>入库项目按照“村级申报、镇级审核、市级行业主管部门论证、</w:t>
      </w:r>
      <w:r>
        <w:rPr>
          <w:rFonts w:hint="eastAsia"/>
          <w:bCs/>
        </w:rPr>
        <w:t>示范区农村</w:t>
      </w:r>
      <w:r>
        <w:rPr>
          <w:rFonts w:hint="eastAsia"/>
        </w:rPr>
        <w:t>巩固拓展脱贫攻坚成果领导小组</w:t>
      </w:r>
      <w:r>
        <w:rPr>
          <w:rFonts w:hint="eastAsia"/>
          <w:bCs/>
        </w:rPr>
        <w:t>审定</w:t>
      </w:r>
      <w:r>
        <w:rPr>
          <w:rFonts w:hint="eastAsia"/>
        </w:rPr>
        <w:t>”的程序编报入库。</w:t>
      </w:r>
    </w:p>
    <w:p>
      <w:pPr>
        <w:spacing w:line="560" w:lineRule="exact"/>
        <w:ind w:firstLine="640"/>
      </w:pPr>
      <w:r>
        <w:rPr>
          <w:rFonts w:hint="eastAsia" w:eastAsia="楷体_GB2312" w:cs="楷体_GB2312"/>
        </w:rPr>
        <w:t>（一）村级申报。</w:t>
      </w:r>
      <w:r>
        <w:rPr>
          <w:rFonts w:hint="eastAsia"/>
        </w:rPr>
        <w:t>村两委、第一书记和驻村工作队提出项目建设初步意见，组织召开村两委会或村民代表大会，广泛征求意见并公示无异议后，确定申报项目并上报镇政府。</w:t>
      </w:r>
    </w:p>
    <w:p>
      <w:pPr>
        <w:spacing w:line="560" w:lineRule="exact"/>
        <w:ind w:firstLine="640"/>
      </w:pPr>
      <w:r>
        <w:rPr>
          <w:rFonts w:hint="eastAsia" w:eastAsia="楷体_GB2312" w:cs="楷体_GB2312"/>
        </w:rPr>
        <w:t>（二）镇级审核。</w:t>
      </w:r>
      <w:r>
        <w:rPr>
          <w:rFonts w:hint="eastAsia"/>
        </w:rPr>
        <w:t>各镇召开党政联席会议对村申报项目的相关内容进行审核，审核后按项目类别中子项目分类编制项目实施方案，项目实施方案内容要详实具体、科学合理、可操作性强。并对上报项目进行公示后报示范区乡村振兴局。</w:t>
      </w:r>
    </w:p>
    <w:p>
      <w:pPr>
        <w:spacing w:line="560" w:lineRule="exact"/>
        <w:ind w:firstLine="640"/>
      </w:pPr>
      <w:r>
        <w:rPr>
          <w:rFonts w:hint="eastAsia" w:eastAsia="楷体_GB2312" w:cs="楷体_GB2312"/>
        </w:rPr>
        <w:t>（三）市级行业主管部门论证。</w:t>
      </w:r>
      <w:r>
        <w:rPr>
          <w:rFonts w:hint="eastAsia"/>
        </w:rPr>
        <w:t>由示范区乡村振兴局牵头组织发展改革和统计局、财政金融局以及相关行业部门人员组成的专家组或邀请第三方，对各镇报送项目的科学性、合规性、可行性进行论证，需实地查看的项目要组织相关人员进行实地勘察，切实提高项目质量。</w:t>
      </w:r>
    </w:p>
    <w:p>
      <w:pPr>
        <w:spacing w:line="560" w:lineRule="exact"/>
        <w:ind w:firstLine="640"/>
      </w:pPr>
      <w:r>
        <w:rPr>
          <w:rFonts w:hint="eastAsia" w:eastAsia="楷体_GB2312" w:cs="楷体_GB2312"/>
        </w:rPr>
        <w:t>（四）示范区巩固拓展脱贫攻坚成果领导小组审定。</w:t>
      </w:r>
      <w:r>
        <w:rPr>
          <w:rFonts w:hint="eastAsia"/>
        </w:rPr>
        <w:t>示范区乡村振兴局会同财政金融局，结合年度巩固拓展脱贫攻坚成果需求及衔接推进乡村振兴补助资金规模，对拟纳入项目库的项目进行筛选汇总，合理确定项目库储备规模，以书面形式报示范区巩固拓展脱贫攻坚成果领导小组。经示范区巩固拓展脱贫攻坚成果领导小组审定通过后予以公示，公示无异议后，将项目库予以公告。</w:t>
      </w:r>
    </w:p>
    <w:p>
      <w:pPr>
        <w:spacing w:line="560" w:lineRule="exact"/>
        <w:ind w:firstLine="640"/>
      </w:pPr>
      <w:r>
        <w:rPr>
          <w:rFonts w:hint="eastAsia" w:eastAsia="楷体_GB2312" w:cs="楷体_GB2312"/>
        </w:rPr>
        <w:t>（五）系统录入。</w:t>
      </w:r>
      <w:r>
        <w:rPr>
          <w:rFonts w:hint="eastAsia"/>
        </w:rPr>
        <w:t>示范区乡村振兴局组织各镇及时将</w:t>
      </w:r>
      <w:r>
        <w:rPr>
          <w:rFonts w:hint="eastAsia"/>
          <w:bCs/>
        </w:rPr>
        <w:t>示范区</w:t>
      </w:r>
      <w:r>
        <w:rPr>
          <w:rFonts w:hint="eastAsia"/>
        </w:rPr>
        <w:t>巩固拓展脱贫攻坚成果领导小组审定公告的项目库，及时按程序录入全国防返贫监测信息系统。</w:t>
      </w:r>
    </w:p>
    <w:p>
      <w:pPr>
        <w:spacing w:line="560" w:lineRule="exact"/>
        <w:ind w:firstLine="640"/>
      </w:pPr>
      <w:r>
        <w:rPr>
          <w:rFonts w:hint="eastAsia"/>
        </w:rPr>
        <w:t>到镇到村带户项目坚持“村级申报、镇级审核、市级行业主管部门论证</w:t>
      </w:r>
      <w:r>
        <w:rPr>
          <w:rFonts w:hint="eastAsia"/>
          <w:b/>
          <w:bCs/>
        </w:rPr>
        <w:t>、</w:t>
      </w:r>
      <w:r>
        <w:rPr>
          <w:rFonts w:hint="eastAsia"/>
          <w:bCs/>
        </w:rPr>
        <w:t>示范区</w:t>
      </w:r>
      <w:r>
        <w:rPr>
          <w:rFonts w:hint="eastAsia"/>
        </w:rPr>
        <w:t>巩固拓展脱贫攻坚成果领导小组审定”的程序。对跨区域、规模化的项目，可由镇或行业部门提出，充分征求相关镇村意见并履行公告公示程序后入库。雨露计划、脱贫人口小额信贷贴息、一揽子保险等项目，可由示范区统筹安排实施，根据年终实际执行情况完善入库项目信息。因疫情、灾情等突发事件影响需急需实施的项目，可根据实际情况，适当优化项目入库、公告公示流程。</w:t>
      </w:r>
    </w:p>
    <w:p>
      <w:pPr>
        <w:spacing w:line="560" w:lineRule="exact"/>
        <w:ind w:firstLine="640"/>
        <w:rPr>
          <w:rFonts w:eastAsia="黑体"/>
        </w:rPr>
      </w:pPr>
      <w:r>
        <w:rPr>
          <w:rFonts w:hint="eastAsia" w:eastAsia="黑体"/>
        </w:rPr>
        <w:t>五、加强项目库管理</w:t>
      </w:r>
    </w:p>
    <w:p>
      <w:pPr>
        <w:spacing w:line="560" w:lineRule="exact"/>
        <w:ind w:firstLine="640"/>
      </w:pPr>
      <w:r>
        <w:rPr>
          <w:rFonts w:hint="eastAsia" w:eastAsia="楷体_GB2312" w:cs="楷体_GB2312"/>
        </w:rPr>
        <w:t>（一）调整优化入库项目。</w:t>
      </w:r>
      <w:r>
        <w:rPr>
          <w:rFonts w:hint="eastAsia"/>
        </w:rPr>
        <w:t>聚焦防止返贫动态监测和帮扶、易地扶贫搬迁后续扶贫、乡村产业发展和乡村建设行动、农村人居环境整治等任务，将巩固拓展脱贫攻坚成果和衔接推进乡村振兴项目有序入库。有条件的镇、部门可探索政策集成，系统谋划论证一批整体性、综合性项目，积极衔接推进乡村振兴，提高项目整体效益。</w:t>
      </w:r>
    </w:p>
    <w:p>
      <w:pPr>
        <w:spacing w:line="560" w:lineRule="exact"/>
        <w:ind w:firstLine="640"/>
      </w:pPr>
      <w:r>
        <w:rPr>
          <w:rFonts w:hint="eastAsia" w:eastAsia="楷体_GB2312" w:cs="楷体_GB2312"/>
        </w:rPr>
        <w:t>（二）提高项目入库质量。</w:t>
      </w:r>
      <w:r>
        <w:rPr>
          <w:rFonts w:hint="eastAsia"/>
        </w:rPr>
        <w:t>各镇和有关部门对谋划入库的项目要提前做好利益联结机制、帮扶机制和绩效目标等；示范区乡村振兴局要加强对项目库建设的督促指导和跟踪监测，对是否属于巩固拓展脱贫攻坚成果同衔接乡村振兴项目进行审核，不断提高项目库建设质量。重点关注与脱贫人口和监测帮扶对象等利益联结机制建立等情况，并将审核意见向</w:t>
      </w:r>
      <w:r>
        <w:rPr>
          <w:rFonts w:hint="eastAsia"/>
          <w:bCs/>
        </w:rPr>
        <w:t>示范区</w:t>
      </w:r>
      <w:r>
        <w:rPr>
          <w:rFonts w:hint="eastAsia"/>
        </w:rPr>
        <w:t>巩固拓展脱贫攻坚成果领导小组反馈。对带动能力强、利益联结机制紧密、与群众生产生活紧密相关、资金使用效益高的项目予以优先安排。</w:t>
      </w:r>
    </w:p>
    <w:p>
      <w:pPr>
        <w:spacing w:line="560" w:lineRule="exact"/>
        <w:ind w:firstLine="640"/>
      </w:pPr>
      <w:r>
        <w:rPr>
          <w:rFonts w:hint="eastAsia" w:eastAsia="楷体_GB2312" w:cs="楷体_GB2312"/>
        </w:rPr>
        <w:t>（三）严格项目筛选。</w:t>
      </w:r>
      <w:r>
        <w:rPr>
          <w:rFonts w:hint="eastAsia"/>
        </w:rPr>
        <w:t>使用各级财政衔接推进乡村振兴补助资金支持巩固拓展脱贫攻坚成果同乡村振兴任务的项目，必须从巩固拓展脱贫攻坚成果和乡村振兴项目库中选择；使用其他资金安排的巩固拓展脱贫攻坚成果的项目，鼓励从项目库中选择。受年度资金规模和其它客观因素影响当年未实施的入库项目，需要继续实施的可优先进入下年度项目库。</w:t>
      </w:r>
    </w:p>
    <w:p>
      <w:pPr>
        <w:spacing w:line="560" w:lineRule="exact"/>
        <w:ind w:firstLine="640"/>
      </w:pPr>
      <w:r>
        <w:rPr>
          <w:rFonts w:hint="eastAsia" w:eastAsia="楷体_GB2312" w:cs="楷体_GB2312"/>
        </w:rPr>
        <w:t>（四）坚持实事求是。</w:t>
      </w:r>
      <w:r>
        <w:rPr>
          <w:rFonts w:hint="eastAsia"/>
        </w:rPr>
        <w:t>项目库建设要从实际出发，充分考虑发展阶段、承受能力，量力而行，项目库规模要与财力情况和巩固拓展脱贫攻坚成果实际需求相匹配，力戒形式主义，避免举债搞建设。各镇、村谋划项目时，要根据相关规划，充分考虑各村发展实际和群众需求，不要好高骛远。</w:t>
      </w:r>
    </w:p>
    <w:p>
      <w:pPr>
        <w:spacing w:line="560" w:lineRule="exact"/>
        <w:ind w:firstLine="640"/>
        <w:rPr>
          <w:rFonts w:eastAsia="黑体"/>
        </w:rPr>
      </w:pPr>
      <w:r>
        <w:rPr>
          <w:rFonts w:hint="eastAsia" w:eastAsia="黑体"/>
        </w:rPr>
        <w:t>六、工作要求</w:t>
      </w:r>
    </w:p>
    <w:p>
      <w:pPr>
        <w:spacing w:line="560" w:lineRule="exact"/>
        <w:ind w:firstLine="640"/>
      </w:pPr>
      <w:r>
        <w:rPr>
          <w:rFonts w:hint="eastAsia" w:eastAsia="楷体_GB2312" w:cs="楷体_GB2312"/>
        </w:rPr>
        <w:t>（一）加强组织领导。</w:t>
      </w:r>
      <w:r>
        <w:rPr>
          <w:rFonts w:hint="eastAsia"/>
        </w:rPr>
        <w:t>示范区乡村振兴局牵头负责巩固拓展脱贫攻坚成果和乡村振兴项目库工作，认真做好巩固拓展脱贫攻坚成果和乡村振兴项目论证储备和入库管理等工作，并指导镇、村级申报项目。各相关镇要建立项目库建设工作机制，主要领导亲自挂帅，分管领导直接负责，根据项目库建设有关要求，保质保量完成项目库建设工作。统筹做好巩固拓展脱贫攻坚成果和乡村振兴项目库与特色产业发展项目库共建共管共享，发挥提升，形成合力。</w:t>
      </w:r>
    </w:p>
    <w:p>
      <w:pPr>
        <w:spacing w:line="560" w:lineRule="exact"/>
        <w:ind w:firstLine="640"/>
      </w:pPr>
      <w:r>
        <w:rPr>
          <w:rFonts w:hint="eastAsia" w:eastAsia="楷体_GB2312" w:cs="楷体_GB2312"/>
        </w:rPr>
        <w:t>（二）通力协调配合。</w:t>
      </w:r>
      <w:r>
        <w:rPr>
          <w:rFonts w:hint="eastAsia"/>
        </w:rPr>
        <w:t>发展改革和统计局、财政金融局、组织部、宣传部、农业农村局、林业局、水利局、交通运输局、人力资源和社会保障局、自然资源和规划局等相关行业主管部门要通力配合，建立会商协调机制和项目论证专家库，根据实际情况将相关项目纳入项目库，强化项目论证和项目储备。</w:t>
      </w:r>
    </w:p>
    <w:p>
      <w:pPr>
        <w:spacing w:line="560" w:lineRule="exact"/>
        <w:ind w:firstLine="640"/>
      </w:pPr>
      <w:r>
        <w:rPr>
          <w:rFonts w:hint="eastAsia" w:eastAsia="楷体_GB2312" w:cs="楷体_GB2312"/>
        </w:rPr>
        <w:t>（三）加快推进建设。</w:t>
      </w:r>
      <w:r>
        <w:rPr>
          <w:rFonts w:hint="eastAsia"/>
        </w:rPr>
        <w:t>每年于9月份启动下一年度项目库建设工作，各镇、各部门根据时间节点按时将谋划的下一年项目库相关资料报送示范区乡村振兴局，乡村振兴局及时组织完成项目实地勘察和项目论证工作，并将拟纳入项目库的项目报</w:t>
      </w:r>
      <w:r>
        <w:rPr>
          <w:rFonts w:hint="eastAsia"/>
          <w:bCs/>
        </w:rPr>
        <w:t>示范区</w:t>
      </w:r>
      <w:r>
        <w:rPr>
          <w:rFonts w:hint="eastAsia"/>
        </w:rPr>
        <w:t>巩固拓展脱贫攻坚成果领导小组审定。根据巩固拓展脱贫攻坚成果同乡村振兴有效衔接任务和提前下达的资金规模，会同财政金融局从项目库中择优选择项目，编制下一步项目计划。</w:t>
      </w:r>
    </w:p>
    <w:p>
      <w:pPr>
        <w:spacing w:line="560" w:lineRule="exact"/>
        <w:ind w:firstLine="640"/>
      </w:pPr>
      <w:r>
        <w:rPr>
          <w:rFonts w:hint="eastAsia" w:eastAsia="楷体_GB2312" w:cs="楷体_GB2312"/>
        </w:rPr>
        <w:t>（四）严格时间要求。</w:t>
      </w:r>
      <w:r>
        <w:rPr>
          <w:rFonts w:hint="eastAsia"/>
        </w:rPr>
        <w:t>项目库建设要公开、公正、透明，要严格按照时限要求，做好项目的申报、审核、论证、公告公示等工作。对于未按时间节点要求报送项目库申报材料的，视为当年未实施项目。</w:t>
      </w:r>
    </w:p>
    <w:p>
      <w:pPr>
        <w:pStyle w:val="2"/>
        <w:spacing w:line="560" w:lineRule="exact"/>
        <w:ind w:firstLine="624"/>
        <w:rPr>
          <w:rFonts w:ascii="宋体" w:hAnsi="宋体"/>
          <w:sz w:val="30"/>
          <w:szCs w:val="30"/>
        </w:rPr>
      </w:pPr>
    </w:p>
    <w:p>
      <w:pPr>
        <w:pStyle w:val="2"/>
        <w:spacing w:after="0" w:line="600" w:lineRule="exact"/>
        <w:ind w:firstLine="624"/>
        <w:rPr>
          <w:rFonts w:ascii="宋体" w:hAnsi="宋体"/>
          <w:sz w:val="30"/>
          <w:szCs w:val="30"/>
        </w:rPr>
      </w:pPr>
      <w:r>
        <w:rPr>
          <w:rFonts w:hint="eastAsia" w:ascii="宋体" w:hAnsi="宋体"/>
          <w:sz w:val="30"/>
          <w:szCs w:val="30"/>
        </w:rPr>
        <w:t>附件：县级巩固拓展脱贫攻坚成果和乡村振兴项目库项目分类</w:t>
      </w:r>
    </w:p>
    <w:p>
      <w:pPr>
        <w:pStyle w:val="2"/>
        <w:spacing w:line="560" w:lineRule="exact"/>
        <w:ind w:firstLine="624"/>
        <w:rPr>
          <w:rFonts w:ascii="宋体" w:hAnsi="宋体"/>
          <w:sz w:val="30"/>
          <w:szCs w:val="30"/>
        </w:rPr>
        <w:sectPr>
          <w:footerReference r:id="rId3" w:type="default"/>
          <w:footerReference r:id="rId4" w:type="even"/>
          <w:pgSz w:w="11906" w:h="16838"/>
          <w:pgMar w:top="1701" w:right="1474" w:bottom="1587" w:left="1531" w:header="851" w:footer="1304" w:gutter="0"/>
          <w:pgNumType w:start="1"/>
          <w:cols w:space="0" w:num="1"/>
          <w:docGrid w:type="lines" w:linePitch="319" w:charSpace="0"/>
        </w:sectPr>
      </w:pPr>
    </w:p>
    <w:p>
      <w:pPr>
        <w:spacing w:line="600" w:lineRule="exact"/>
        <w:jc w:val="left"/>
        <w:rPr>
          <w:rFonts w:eastAsia="黑体" w:cs="黑体"/>
        </w:rPr>
      </w:pPr>
      <w:r>
        <w:rPr>
          <w:rFonts w:hint="eastAsia" w:eastAsia="黑体" w:cs="黑体"/>
        </w:rPr>
        <w:t>附 件</w:t>
      </w: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县级巩固拓展脱贫攻坚成果和乡村振兴</w:t>
      </w:r>
    </w:p>
    <w:p>
      <w:pPr>
        <w:spacing w:afterLines="50" w:line="600" w:lineRule="exact"/>
        <w:jc w:val="center"/>
        <w:rPr>
          <w:rFonts w:eastAsia="方正小标宋简体" w:cs="方正小标宋简体"/>
          <w:sz w:val="44"/>
          <w:szCs w:val="44"/>
        </w:rPr>
      </w:pPr>
      <w:r>
        <w:rPr>
          <w:rFonts w:hint="eastAsia" w:eastAsia="方正小标宋简体" w:cs="方正小标宋简体"/>
          <w:sz w:val="44"/>
          <w:szCs w:val="44"/>
        </w:rPr>
        <w:t>项目库项目分类</w:t>
      </w:r>
    </w:p>
    <w:tbl>
      <w:tblPr>
        <w:tblStyle w:val="7"/>
        <w:tblW w:w="8904"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950"/>
        <w:gridCol w:w="1368"/>
        <w:gridCol w:w="3240"/>
        <w:gridCol w:w="2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blHeader/>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黑体" w:cs="黑体"/>
                <w:color w:val="000000"/>
                <w:sz w:val="18"/>
                <w:szCs w:val="18"/>
              </w:rPr>
            </w:pPr>
            <w:r>
              <w:rPr>
                <w:rFonts w:hint="eastAsia" w:eastAsia="黑体" w:cs="黑体"/>
                <w:color w:val="000000"/>
                <w:kern w:val="0"/>
                <w:sz w:val="18"/>
                <w:szCs w:val="18"/>
              </w:rPr>
              <w:t>序号</w:t>
            </w:r>
          </w:p>
        </w:tc>
        <w:tc>
          <w:tcPr>
            <w:tcW w:w="950" w:type="dxa"/>
            <w:tcBorders>
              <w:tl2br w:val="nil"/>
              <w:tr2bl w:val="nil"/>
            </w:tcBorders>
            <w:shd w:val="clear" w:color="auto" w:fill="auto"/>
            <w:tcMar>
              <w:top w:w="0" w:type="dxa"/>
              <w:left w:w="57" w:type="dxa"/>
              <w:bottom w:w="0" w:type="dxa"/>
              <w:right w:w="57" w:type="dxa"/>
            </w:tcMar>
            <w:vAlign w:val="center"/>
          </w:tcPr>
          <w:p>
            <w:pPr>
              <w:widowControl/>
              <w:spacing w:line="240" w:lineRule="exact"/>
              <w:jc w:val="center"/>
              <w:textAlignment w:val="center"/>
              <w:rPr>
                <w:rFonts w:eastAsia="黑体" w:cs="黑体"/>
                <w:color w:val="000000"/>
                <w:sz w:val="18"/>
                <w:szCs w:val="18"/>
              </w:rPr>
            </w:pPr>
            <w:r>
              <w:rPr>
                <w:rFonts w:hint="eastAsia" w:eastAsia="黑体" w:cs="黑体"/>
                <w:color w:val="000000"/>
                <w:kern w:val="0"/>
                <w:sz w:val="18"/>
                <w:szCs w:val="18"/>
              </w:rPr>
              <w:t>项目类型</w:t>
            </w:r>
          </w:p>
        </w:tc>
        <w:tc>
          <w:tcPr>
            <w:tcW w:w="1368" w:type="dxa"/>
            <w:tcBorders>
              <w:tl2br w:val="nil"/>
              <w:tr2bl w:val="nil"/>
            </w:tcBorders>
            <w:shd w:val="clear" w:color="auto" w:fill="auto"/>
            <w:tcMar>
              <w:top w:w="0" w:type="dxa"/>
              <w:left w:w="57" w:type="dxa"/>
              <w:bottom w:w="0" w:type="dxa"/>
              <w:right w:w="57" w:type="dxa"/>
            </w:tcMar>
            <w:vAlign w:val="center"/>
          </w:tcPr>
          <w:p>
            <w:pPr>
              <w:widowControl/>
              <w:spacing w:line="240" w:lineRule="exact"/>
              <w:jc w:val="center"/>
              <w:textAlignment w:val="center"/>
              <w:rPr>
                <w:rFonts w:eastAsia="黑体" w:cs="黑体"/>
                <w:color w:val="000000"/>
                <w:kern w:val="0"/>
                <w:sz w:val="18"/>
                <w:szCs w:val="18"/>
              </w:rPr>
            </w:pPr>
            <w:r>
              <w:rPr>
                <w:rFonts w:hint="eastAsia" w:eastAsia="黑体" w:cs="黑体"/>
                <w:color w:val="000000"/>
                <w:kern w:val="0"/>
                <w:sz w:val="18"/>
                <w:szCs w:val="18"/>
              </w:rPr>
              <w:t>二级项目</w:t>
            </w:r>
          </w:p>
          <w:p>
            <w:pPr>
              <w:widowControl/>
              <w:spacing w:line="240" w:lineRule="exact"/>
              <w:jc w:val="center"/>
              <w:textAlignment w:val="center"/>
              <w:rPr>
                <w:rFonts w:eastAsia="黑体" w:cs="黑体"/>
                <w:color w:val="000000"/>
                <w:sz w:val="18"/>
                <w:szCs w:val="18"/>
              </w:rPr>
            </w:pPr>
            <w:r>
              <w:rPr>
                <w:rFonts w:hint="eastAsia" w:eastAsia="黑体" w:cs="黑体"/>
                <w:color w:val="000000"/>
                <w:kern w:val="0"/>
                <w:sz w:val="18"/>
                <w:szCs w:val="18"/>
              </w:rPr>
              <w:t>类型</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240" w:lineRule="exact"/>
              <w:jc w:val="center"/>
              <w:textAlignment w:val="center"/>
              <w:rPr>
                <w:rFonts w:eastAsia="黑体" w:cs="黑体"/>
                <w:color w:val="000000"/>
                <w:sz w:val="18"/>
                <w:szCs w:val="18"/>
              </w:rPr>
            </w:pPr>
            <w:r>
              <w:rPr>
                <w:rFonts w:hint="eastAsia" w:eastAsia="黑体" w:cs="黑体"/>
                <w:color w:val="000000"/>
                <w:kern w:val="0"/>
                <w:sz w:val="18"/>
                <w:szCs w:val="18"/>
              </w:rPr>
              <w:t>项目子类型</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240" w:lineRule="exact"/>
              <w:jc w:val="center"/>
              <w:textAlignment w:val="center"/>
              <w:rPr>
                <w:rFonts w:eastAsia="黑体" w:cs="黑体"/>
                <w:color w:val="000000"/>
                <w:kern w:val="0"/>
                <w:sz w:val="18"/>
                <w:szCs w:val="18"/>
              </w:rPr>
            </w:pPr>
            <w:r>
              <w:rPr>
                <w:rFonts w:hint="eastAsia" w:eastAsia="黑体" w:cs="黑体"/>
                <w:color w:val="000000"/>
                <w:kern w:val="0"/>
                <w:sz w:val="18"/>
                <w:szCs w:val="18"/>
              </w:rPr>
              <w:t>对应原县级脱贫攻坚项目库</w:t>
            </w:r>
          </w:p>
          <w:p>
            <w:pPr>
              <w:widowControl/>
              <w:spacing w:line="240" w:lineRule="exact"/>
              <w:jc w:val="center"/>
              <w:textAlignment w:val="center"/>
              <w:rPr>
                <w:rFonts w:eastAsia="黑体" w:cs="黑体"/>
                <w:color w:val="000000"/>
                <w:sz w:val="18"/>
                <w:szCs w:val="18"/>
              </w:rPr>
            </w:pPr>
            <w:r>
              <w:rPr>
                <w:rFonts w:hint="eastAsia" w:eastAsia="黑体" w:cs="黑体"/>
                <w:color w:val="000000"/>
                <w:kern w:val="0"/>
                <w:sz w:val="18"/>
                <w:szCs w:val="18"/>
              </w:rPr>
              <w:t>项目子类型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w:t>
            </w:r>
          </w:p>
        </w:tc>
        <w:tc>
          <w:tcPr>
            <w:tcW w:w="95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kern w:val="0"/>
                <w:sz w:val="18"/>
                <w:szCs w:val="18"/>
              </w:rPr>
            </w:pPr>
            <w:r>
              <w:rPr>
                <w:rFonts w:hint="eastAsia" w:eastAsia="宋体" w:cs="宋体"/>
                <w:color w:val="000000"/>
                <w:kern w:val="0"/>
                <w:sz w:val="18"/>
                <w:szCs w:val="18"/>
              </w:rPr>
              <w:t>产业</w:t>
            </w:r>
          </w:p>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发展</w:t>
            </w: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生产项目</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种植业基地</w:t>
            </w:r>
          </w:p>
        </w:tc>
        <w:tc>
          <w:tcPr>
            <w:tcW w:w="2745"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种植养殖加工服务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养殖业基地</w:t>
            </w:r>
          </w:p>
        </w:tc>
        <w:tc>
          <w:tcPr>
            <w:tcW w:w="2745"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水产养殖业发展</w:t>
            </w:r>
          </w:p>
        </w:tc>
        <w:tc>
          <w:tcPr>
            <w:tcW w:w="2745"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林草基地建设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生态扶贫项目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休闲农业与乡村旅游</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休闲农业与乡村旅游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光伏电站建设</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光伏项目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扶贫车间（特色手工基地）建设</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扶贫车间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kern w:val="0"/>
                <w:sz w:val="18"/>
                <w:szCs w:val="18"/>
              </w:rPr>
            </w:pPr>
            <w:r>
              <w:rPr>
                <w:rFonts w:hint="eastAsia" w:eastAsia="宋体" w:cs="宋体"/>
                <w:color w:val="000000"/>
                <w:kern w:val="0"/>
                <w:sz w:val="18"/>
                <w:szCs w:val="18"/>
              </w:rPr>
              <w:t>加工流通</w:t>
            </w:r>
          </w:p>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项目</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农产品仓储保鲜冷链基础设施建设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产地初加工和精深加工</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市场建设和农村物流</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11</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品牌打造和展销平台</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配套基础设施项目</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小型农田水利设施建设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小型农田水利设施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产业园（区）</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14</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产业服务支撑项目</w:t>
            </w: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智慧农业</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科技服务</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人才培养</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农业社会化服务</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金融保险配套项目</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小额贷款贴息</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扶贫小额信贷贴息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19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小额信贷风险补偿金</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扶贫小额信贷风险补偿金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特色产业保险保费补助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产业保险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21</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新型经营主体贷款贴息</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扶贫龙头企业合作社等经营主体贷款贴息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防贫保险（基金）</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其他</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24</w:t>
            </w:r>
          </w:p>
        </w:tc>
        <w:tc>
          <w:tcPr>
            <w:tcW w:w="95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kern w:val="0"/>
                <w:sz w:val="18"/>
                <w:szCs w:val="18"/>
              </w:rPr>
            </w:pPr>
            <w:r>
              <w:rPr>
                <w:rFonts w:hint="eastAsia" w:eastAsia="宋体" w:cs="宋体"/>
                <w:color w:val="000000"/>
                <w:kern w:val="0"/>
                <w:sz w:val="18"/>
                <w:szCs w:val="18"/>
              </w:rPr>
              <w:t>就业</w:t>
            </w:r>
          </w:p>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项目</w:t>
            </w: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务工补助</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交通费补助</w:t>
            </w:r>
          </w:p>
        </w:tc>
        <w:tc>
          <w:tcPr>
            <w:tcW w:w="2745"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外出务工补助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劳动奖补</w:t>
            </w:r>
          </w:p>
        </w:tc>
        <w:tc>
          <w:tcPr>
            <w:tcW w:w="2745"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就业培训</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技能培训</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技能培训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以工代训</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创业</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创业培训</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就业创业培训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29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创业补助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就业创业补助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乡村工匠</w:t>
            </w: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乡村工匠培育培训</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31</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乡村工匠大师工作室</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乡村工匠传习所</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公益性岗位</w:t>
            </w: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公益性岗位</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公益性岗位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34</w:t>
            </w:r>
          </w:p>
        </w:tc>
        <w:tc>
          <w:tcPr>
            <w:tcW w:w="95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乡村建设行动</w:t>
            </w: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农村基础设施</w:t>
            </w: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村庄规划编制（含修编）</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农村道路建设（通村、通户路）</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通村、组硬化路及护栏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入户路改造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产业路、资源路、旅游路建设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产业路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农村供水保障设施建设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解决安全饮水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农村电网建设（通生产、生活用电、提高综合电压和供电可靠性）</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通生产用电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通生活用电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39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数字乡村建设（信息通信基础设施建设、数字化、智能化建设等）</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光纤宽带接入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240" w:lineRule="exact"/>
              <w:textAlignment w:val="center"/>
              <w:rPr>
                <w:rFonts w:eastAsia="宋体" w:cs="宋体"/>
                <w:color w:val="000000"/>
                <w:sz w:val="18"/>
                <w:szCs w:val="18"/>
              </w:rPr>
            </w:pPr>
            <w:r>
              <w:rPr>
                <w:rFonts w:hint="eastAsia" w:eastAsia="宋体" w:cs="宋体"/>
                <w:color w:val="000000"/>
                <w:kern w:val="0"/>
                <w:sz w:val="18"/>
                <w:szCs w:val="18"/>
              </w:rPr>
              <w:t>农村清洁能源设施建设（燃气、户用光伏、风电、水电、农村生物质能源、北方地区清洁取暖等）</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41</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农业农村基础设施中长期贷款贴息</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其他</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人居环境整治</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农村卫生厕所改造（户用、公共厕所）</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厨房厕所圈舍等改造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44</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农村污水治理</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农村垃圾治理</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村容村貌提升</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农村公共服务</w:t>
            </w:r>
          </w:p>
        </w:tc>
        <w:tc>
          <w:tcPr>
            <w:tcW w:w="324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学校建设或改造（含幼儿园）</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村幼儿园建设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规划保留的村小学改造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村卫生室标准化建设</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村卫生室标准化建设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49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农村养老设施建设（养老院、幸福院、日间照料中心等）</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农村公益性殡葬设施建设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51</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开展县乡村公共服务一体化示范创建</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其他（便民综合服务设施、文化活动广场、体育设施、村级客运站、公共照明设施等）</w:t>
            </w:r>
          </w:p>
        </w:tc>
        <w:tc>
          <w:tcPr>
            <w:tcW w:w="2745"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村级文化活动广场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53</w:t>
            </w:r>
          </w:p>
        </w:tc>
        <w:tc>
          <w:tcPr>
            <w:tcW w:w="95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易地搬迁后扶</w:t>
            </w:r>
          </w:p>
        </w:tc>
        <w:tc>
          <w:tcPr>
            <w:tcW w:w="1368"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易地搬迁后扶</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公共服务岗位</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54</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“一站式”社区综合服务设施建设</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易地扶贫搬迁贷款债劵贴息补助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56</w:t>
            </w:r>
          </w:p>
        </w:tc>
        <w:tc>
          <w:tcPr>
            <w:tcW w:w="95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巩固三保障成果</w:t>
            </w:r>
          </w:p>
        </w:tc>
        <w:tc>
          <w:tcPr>
            <w:tcW w:w="1368"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住房</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农村危房改造等农房改造</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农村危房改造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教育</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享受"雨露计划"职业教育补助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享受"雨露计划"职业教育补助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参与"学前学会普通话"行动</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参与"学前学会普通话"行动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59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其他教育类项目</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其他教育类项目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健康</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参加城乡居民基本医疗保险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参加城乡居民基本医疗保险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61</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参加大病保险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参加大病保险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参加意外保险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参加意外保险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参加其他补充医疗保险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参加其他补充医疗保险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64</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接受医疗救助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接受大病、慢性病(地方病)救治</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接受大病(地方病)救治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综合保障</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享受农村居民最低生活保障</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享受农村居民最低生活保障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67</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参加城乡居民基本养老保险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参加城乡居民基本养老保险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68</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享受特困人员救助供养</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享受特困人员救助供养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69</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接受留守关爱服务</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接受留守关爱服务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70</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接受临时救助</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接受临时救助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71</w:t>
            </w:r>
          </w:p>
        </w:tc>
        <w:tc>
          <w:tcPr>
            <w:tcW w:w="950"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乡村治理和精神文明建设</w:t>
            </w: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乡村治理</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开展乡村治理示范创建</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72</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推进“积分制”“清单式”等管理方式</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73</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restart"/>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农村精神文明建设</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培养“四有”新时代农民</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74</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移风易俗改革示范县（乡、村）</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75</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科技文化卫生“三下乡”</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76</w:t>
            </w:r>
          </w:p>
        </w:tc>
        <w:tc>
          <w:tcPr>
            <w:tcW w:w="950"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农村文化项目</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77</w:t>
            </w:r>
          </w:p>
        </w:tc>
        <w:tc>
          <w:tcPr>
            <w:tcW w:w="950"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kern w:val="0"/>
                <w:sz w:val="18"/>
                <w:szCs w:val="18"/>
              </w:rPr>
            </w:pPr>
            <w:r>
              <w:rPr>
                <w:rFonts w:hint="eastAsia" w:eastAsia="宋体" w:cs="宋体"/>
                <w:color w:val="000000"/>
                <w:kern w:val="0"/>
                <w:sz w:val="18"/>
                <w:szCs w:val="18"/>
              </w:rPr>
              <w:t>项目</w:t>
            </w:r>
          </w:p>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管理费</w:t>
            </w:r>
          </w:p>
        </w:tc>
        <w:tc>
          <w:tcPr>
            <w:tcW w:w="1368"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项目管理费</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项目管理费</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项目管理费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78</w:t>
            </w:r>
          </w:p>
        </w:tc>
        <w:tc>
          <w:tcPr>
            <w:tcW w:w="950"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其他</w:t>
            </w:r>
          </w:p>
        </w:tc>
        <w:tc>
          <w:tcPr>
            <w:tcW w:w="1368" w:type="dxa"/>
            <w:vMerge w:val="restart"/>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其他</w:t>
            </w:r>
          </w:p>
        </w:tc>
        <w:tc>
          <w:tcPr>
            <w:tcW w:w="3240" w:type="dxa"/>
            <w:tcBorders>
              <w:tl2br w:val="nil"/>
              <w:tr2bl w:val="nil"/>
            </w:tcBorders>
            <w:shd w:val="clear" w:color="auto" w:fill="auto"/>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少数民族特色村寨建设项目</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79</w:t>
            </w:r>
          </w:p>
        </w:tc>
        <w:tc>
          <w:tcPr>
            <w:tcW w:w="950"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困难群众饮用低氟茶</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01"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textAlignment w:val="center"/>
              <w:rPr>
                <w:rFonts w:eastAsia="宋体" w:cs="宋体"/>
                <w:color w:val="000000"/>
                <w:sz w:val="18"/>
                <w:szCs w:val="18"/>
              </w:rPr>
            </w:pPr>
            <w:r>
              <w:rPr>
                <w:rFonts w:hint="eastAsia" w:eastAsia="宋体" w:cs="宋体"/>
                <w:color w:val="000000"/>
                <w:kern w:val="0"/>
                <w:sz w:val="18"/>
                <w:szCs w:val="18"/>
              </w:rPr>
              <w:t>80</w:t>
            </w:r>
          </w:p>
        </w:tc>
        <w:tc>
          <w:tcPr>
            <w:tcW w:w="950"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1368" w:type="dxa"/>
            <w:vMerge w:val="continue"/>
            <w:tcBorders>
              <w:tl2br w:val="nil"/>
              <w:tr2bl w:val="nil"/>
            </w:tcBorders>
            <w:shd w:val="clear" w:color="auto" w:fill="auto"/>
            <w:noWrap/>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c>
          <w:tcPr>
            <w:tcW w:w="3240" w:type="dxa"/>
            <w:tcBorders>
              <w:tl2br w:val="nil"/>
              <w:tr2bl w:val="nil"/>
            </w:tcBorders>
            <w:shd w:val="clear" w:color="auto" w:fill="auto"/>
            <w:noWrap/>
            <w:tcMar>
              <w:top w:w="0" w:type="dxa"/>
              <w:left w:w="57" w:type="dxa"/>
              <w:bottom w:w="0" w:type="dxa"/>
              <w:right w:w="57" w:type="dxa"/>
            </w:tcMar>
            <w:vAlign w:val="center"/>
          </w:tcPr>
          <w:p>
            <w:pPr>
              <w:widowControl/>
              <w:spacing w:line="300" w:lineRule="exact"/>
              <w:textAlignment w:val="center"/>
              <w:rPr>
                <w:rFonts w:eastAsia="宋体" w:cs="宋体"/>
                <w:color w:val="000000"/>
                <w:sz w:val="18"/>
                <w:szCs w:val="18"/>
              </w:rPr>
            </w:pPr>
            <w:r>
              <w:rPr>
                <w:rFonts w:hint="eastAsia" w:eastAsia="宋体" w:cs="宋体"/>
                <w:color w:val="000000"/>
                <w:kern w:val="0"/>
                <w:sz w:val="18"/>
                <w:szCs w:val="18"/>
              </w:rPr>
              <w:t>……</w:t>
            </w:r>
          </w:p>
        </w:tc>
        <w:tc>
          <w:tcPr>
            <w:tcW w:w="2745" w:type="dxa"/>
            <w:tcBorders>
              <w:tl2br w:val="nil"/>
              <w:tr2bl w:val="nil"/>
            </w:tcBorders>
            <w:shd w:val="clear" w:color="auto" w:fill="auto"/>
            <w:tcMar>
              <w:top w:w="0" w:type="dxa"/>
              <w:left w:w="57" w:type="dxa"/>
              <w:bottom w:w="0" w:type="dxa"/>
              <w:right w:w="57" w:type="dxa"/>
            </w:tcMar>
            <w:vAlign w:val="center"/>
          </w:tcPr>
          <w:p>
            <w:pPr>
              <w:widowControl/>
              <w:spacing w:line="300" w:lineRule="exact"/>
              <w:jc w:val="center"/>
              <w:rPr>
                <w:rFonts w:eastAsia="宋体" w:cs="宋体"/>
                <w:color w:val="000000"/>
                <w:sz w:val="18"/>
                <w:szCs w:val="18"/>
              </w:rPr>
            </w:pPr>
          </w:p>
        </w:tc>
      </w:tr>
    </w:tbl>
    <w:p>
      <w:pPr>
        <w:jc w:val="left"/>
        <w:rPr>
          <w:rFonts w:hint="eastAsia"/>
          <w:sz w:val="32"/>
          <w:szCs w:val="32"/>
        </w:rPr>
      </w:pPr>
    </w:p>
    <w:p>
      <w:pPr>
        <w:pStyle w:val="2"/>
        <w:ind w:firstLine="664"/>
        <w:rPr>
          <w:rFonts w:hint="eastAsia"/>
        </w:rPr>
      </w:pPr>
    </w:p>
    <w:p>
      <w:pPr>
        <w:rPr>
          <w:rFonts w:hint="eastAsia"/>
        </w:rPr>
      </w:pPr>
    </w:p>
    <w:p>
      <w:pPr>
        <w:pStyle w:val="2"/>
        <w:ind w:firstLine="664"/>
        <w:rPr>
          <w:rFonts w:hint="eastAsia"/>
        </w:rPr>
      </w:pPr>
    </w:p>
    <w:p/>
    <w:p>
      <w:pPr>
        <w:spacing w:line="560" w:lineRule="exact"/>
        <w:jc w:val="center"/>
      </w:pPr>
      <w:r>
        <w:rPr>
          <w:color w:val="000000"/>
          <w:kern w:val="0"/>
          <w:sz w:val="32"/>
          <w:szCs w:val="21"/>
        </w:rPr>
        <w:pict>
          <v:rect id="矩形 9" o:spid="_x0000_s1026" o:spt="1" style="position:absolute;left:0pt;margin-left:0pt;margin-top:41.3pt;height:46.8pt;width:90pt;z-index:251661312;mso-width-relative:page;mso-height-relative:page;" stroked="f" coordsize="21600,21600" o:gfxdata="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H56x/VAAAABwEAAA8AAAAAAAAA&#10;AQAgAAAAIgAAAGRycy9kb3ducmV2LnhtbFBLAQIUABQAAAAIAIdO4kCtdMZpogEAAB8DAAAOAAAA&#10;AAAAAAEAIAAAACQBAABkcnMvZTJvRG9jLnhtbFBLBQYAAAAABgAGAFkBAAA4BQAAAAA=&#10;">
            <v:path/>
            <v:fill focussize="0,0"/>
            <v:stroke on="f"/>
            <v:imagedata o:title=""/>
            <o:lock v:ext="edit"/>
          </v:rect>
        </w:pict>
      </w:r>
      <w:r>
        <w:rPr>
          <w:color w:val="000000"/>
          <w:kern w:val="0"/>
          <w:sz w:val="32"/>
          <w:szCs w:val="21"/>
        </w:rPr>
        <w:pict>
          <v:line id="直线 7" o:spid="_x0000_s1028" o:spt="20" style="position:absolute;left:0pt;margin-left:-0.25pt;margin-top:2.25pt;height:0.05pt;width:442.2pt;z-index:251659264;mso-width-relative:page;mso-height-relative:page;" coordsize="21600,21600" o:gfxdata="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i5JZDVAAAABQEAAA8AAAAAAAAAAQAgAAAAIgAA&#10;AGRycy9kb3ducmV2LnhtbFBLAQIUABQAAAAIAIdO4kAge06e0gEAAJoDAAAOAAAAAAAAAAEAIAAA&#10;ACQBAABkcnMvZTJvRG9jLnhtbFBLBQYAAAAABgAGAFkBAABoBQAAAAA=&#10;">
            <v:path arrowok="t"/>
            <v:fill focussize="0,0"/>
            <v:stroke weight="1pt" joinstyle="bevel"/>
            <v:imagedata o:title=""/>
            <o:lock v:ext="edit"/>
          </v:line>
        </w:pict>
      </w:r>
      <w:r>
        <w:rPr>
          <w:color w:val="000000"/>
          <w:kern w:val="0"/>
          <w:sz w:val="32"/>
          <w:szCs w:val="21"/>
        </w:rPr>
        <w:pict>
          <v:line id="直线 6" o:spid="_x0000_s1027" o:spt="20" style="position:absolute;left:0pt;margin-left:-0.4pt;margin-top:31.8pt;height:0.05pt;width:442.2pt;z-index:251660288;mso-width-relative:page;mso-height-relative:page;" coordsize="21600,21600" o:gfxdata="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2ZE89QAAAAHAQAADwAAAAAAAAABACAAAAAiAAAA&#10;ZHJzL2Rvd25yZXYueG1sUEsBAhQAFAAAAAgAh07iQKh+OoTSAQAAmgMAAA4AAAAAAAAAAQAgAAAA&#10;IwEAAGRycy9lMm9Eb2MueG1sUEsFBgAAAAAGAAYAWQEAAGcFAAAAAA==&#10;">
            <v:path arrowok="t"/>
            <v:fill focussize="0,0"/>
            <v:stroke weight="1pt" joinstyle="bevel"/>
            <v:imagedata o:title=""/>
            <o:lock v:ext="edit"/>
          </v:line>
        </w:pict>
      </w:r>
      <w:r>
        <w:rPr>
          <w:rFonts w:hint="eastAsia" w:cs="仿宋_GB2312"/>
          <w:color w:val="000000"/>
          <w:kern w:val="0"/>
          <w:sz w:val="32"/>
          <w:szCs w:val="21"/>
        </w:rPr>
        <w:t>济源示范区乡村振兴局</w:t>
      </w:r>
      <w:r>
        <w:rPr>
          <w:rFonts w:hint="eastAsia"/>
          <w:color w:val="000000"/>
          <w:kern w:val="0"/>
          <w:sz w:val="32"/>
          <w:szCs w:val="21"/>
        </w:rPr>
        <w:t xml:space="preserve">     </w:t>
      </w:r>
      <w:r>
        <w:rPr>
          <w:rFonts w:hint="eastAsia" w:cs="Tahoma"/>
          <w:color w:val="000000"/>
          <w:kern w:val="0"/>
          <w:sz w:val="32"/>
          <w:szCs w:val="21"/>
        </w:rPr>
        <w:t xml:space="preserve">      2021年9月12日印发</w:t>
      </w:r>
    </w:p>
    <w:sectPr>
      <w:headerReference r:id="rId5" w:type="default"/>
      <w:footerReference r:id="rId7" w:type="default"/>
      <w:headerReference r:id="rId6" w:type="even"/>
      <w:footerReference r:id="rId8" w:type="even"/>
      <w:pgSz w:w="11905" w:h="16838"/>
      <w:pgMar w:top="1814" w:right="1531" w:bottom="1757" w:left="1531" w:header="720" w:footer="1304"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2" o:spid="_x0000_s2052" o:spt="202" type="#_x0000_t202" style="position:absolute;left:0pt;margin-left:379.75pt;margin-top:0pt;height:20.25pt;width:65.3pt;mso-position-horizontal-relative:margin;z-index:251660288;mso-width-relative:page;mso-height-relative:page;" filled="f" stroked="f" coordsize="21600,21600" o:gfxdata="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A7qJLTWAAAABwEA&#10;AA8AAAAAAAAAAQAgAAAAIgAAAGRycy9kb3ducmV2LnhtbFBLAQIUABQAAAAIAIdO4kBaGeWlxwIA&#10;ANYFAAAOAAAAAAAAAAEAIAAAACUBAABkcnMvZTJvRG9jLnhtbFBLBQYAAAAABgAGAFkBAABeBgAA&#10;AAA=&#10;">
          <v:path/>
          <v:fill on="f" focussize="0,0"/>
          <v:stroke on="f" weight="0.5pt" joinstyle="miter"/>
          <v:imagedata o:title=""/>
          <o:lock v:ext="edit"/>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1" o:spid="_x0000_s2051" o:spt="202" type="#_x0000_t202" style="position:absolute;left:0pt;margin-left:0pt;margin-top:0pt;height:27.75pt;width:75.9pt;mso-position-horizontal-relative:margin;z-index:251661312;mso-width-relative:page;mso-height-relative:page;" filled="f" stroked="f" coordsize="21600,21600" o:gfxdata="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I0jXTAAAABAEAAA8A&#10;AAAAAAAAAQAgAAAAIgAAAGRycy9kb3ducmV2LnhtbFBLAQIUABQAAAAIAIdO4kCIYTWdxwIAANYF&#10;AAAOAAAAAAAAAAEAIAAAACIBAABkcnMvZTJvRG9jLnhtbFBLBQYAAAAABgAGAFkBAABbBgAAAAA=&#10;">
          <v:path/>
          <v:fill on="f" focussize="0,0"/>
          <v:stroke on="f" weight="0.5pt" joinstyle="miter"/>
          <v:imagedata o:title=""/>
          <o:lock v:ext="edit"/>
          <v:textbox inset="0mm,0mm,0mm,0mm">
            <w:txbxContent>
              <w:p>
                <w:pPr>
                  <w:pStyle w:val="5"/>
                  <w:ind w:firstLine="292"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876"/>
      <w:jc w:val="right"/>
      <w:rPr>
        <w:rFonts w:eastAsia="宋体"/>
        <w:sz w:val="28"/>
        <w:szCs w:val="28"/>
      </w:rPr>
    </w:pPr>
    <w:r>
      <w:rPr>
        <w:sz w:val="28"/>
      </w:rPr>
      <w:pict>
        <v:shape id="_x0000_s2050" o:spid="_x0000_s2050" o:spt="202" type="#_x0000_t202" style="position:absolute;left:0pt;margin-left:379.3pt;margin-top:0pt;height:19pt;width:62.85pt;mso-position-horizontal-relative:margin;z-index:251659264;mso-width-relative:page;mso-height-relative:page;" filled="f" stroked="f" coordsize="21600,21600" o:gfxdata="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EUXK51gAAAAcB&#10;AAAPAAAAAAAAAAEAIAAAACIAAABkcnMvZG93bnJldi54bWxQSwECFAAUAAAACACHTuJALFw8lcgC&#10;AADWBQAADgAAAAAAAAABACAAAAAlAQAAZHJzL2Uyb0RvYy54bWxQSwUGAAAAAAYABgBZAQAAXwYA&#10;AAAA&#10;">
          <v:path/>
          <v:fill on="f" focussize="0,0"/>
          <v:stroke on="f" weight="0.5pt" joinstyle="miter"/>
          <v:imagedata o:title=""/>
          <o:lock v:ext="edit"/>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92" w:firstLineChars="100"/>
      <w:rPr>
        <w:rFonts w:eastAsia="宋体"/>
        <w:sz w:val="28"/>
        <w:szCs w:val="28"/>
      </w:rPr>
    </w:pPr>
    <w:r>
      <w:rPr>
        <w:sz w:val="28"/>
      </w:rPr>
      <w:pict>
        <v:shape id="_x0000_s2049" o:spid="_x0000_s2049" o:spt="202" type="#_x0000_t202" style="position:absolute;left:0pt;margin-left:0pt;margin-top:0pt;height:24.05pt;width:77pt;mso-position-horizontal-relative:margin;z-index:251662336;mso-width-relative:page;mso-height-relative:page;" filled="f" stroked="f" coordsize="21600,21600" o:gfxdata="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t39Ew0wAAAAQBAAAP&#10;AAAAAAAAAAEAIAAAACIAAABkcnMvZG93bnJldi54bWxQSwECFAAUAAAACACHTuJA10yUoMgCAADW&#10;BQAADgAAAAAAAAABACAAAAAiAQAAZHJzL2Uyb0RvYy54bWxQSwUGAAAAAAYABgBZAQAAXAYAAAAA&#10;">
          <v:path/>
          <v:fill on="f" focussize="0,0"/>
          <v:stroke on="f" weight="0.5pt" joinstyle="miter"/>
          <v:imagedata o:title=""/>
          <o:lock v:ext="edit"/>
          <v:textbox inset="0mm,0mm,0mm,0mm">
            <w:txbxContent>
              <w:p>
                <w:pPr>
                  <w:pStyle w:val="5"/>
                  <w:ind w:firstLine="292"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31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27BE1B7A"/>
    <w:rsid w:val="000936DB"/>
    <w:rsid w:val="00107F6B"/>
    <w:rsid w:val="001672A6"/>
    <w:rsid w:val="001A70E5"/>
    <w:rsid w:val="0020707F"/>
    <w:rsid w:val="002B3BD8"/>
    <w:rsid w:val="002F4EB2"/>
    <w:rsid w:val="0030342A"/>
    <w:rsid w:val="00312B83"/>
    <w:rsid w:val="00314FCB"/>
    <w:rsid w:val="003159C4"/>
    <w:rsid w:val="00324FA2"/>
    <w:rsid w:val="00333C1B"/>
    <w:rsid w:val="00362624"/>
    <w:rsid w:val="003C3EFA"/>
    <w:rsid w:val="003E23B9"/>
    <w:rsid w:val="0045232A"/>
    <w:rsid w:val="004534DB"/>
    <w:rsid w:val="00474DA4"/>
    <w:rsid w:val="005601C0"/>
    <w:rsid w:val="0059594E"/>
    <w:rsid w:val="00647B5D"/>
    <w:rsid w:val="00747240"/>
    <w:rsid w:val="00756830"/>
    <w:rsid w:val="007F0314"/>
    <w:rsid w:val="0096496B"/>
    <w:rsid w:val="00984B7C"/>
    <w:rsid w:val="00A153E9"/>
    <w:rsid w:val="00B4085E"/>
    <w:rsid w:val="00B76081"/>
    <w:rsid w:val="00C620BD"/>
    <w:rsid w:val="00C9154D"/>
    <w:rsid w:val="00CB7E2F"/>
    <w:rsid w:val="00DD3548"/>
    <w:rsid w:val="00DE7AC6"/>
    <w:rsid w:val="00EF425E"/>
    <w:rsid w:val="022100DA"/>
    <w:rsid w:val="02974A51"/>
    <w:rsid w:val="0C522E93"/>
    <w:rsid w:val="10566A3D"/>
    <w:rsid w:val="152A00D0"/>
    <w:rsid w:val="16944A45"/>
    <w:rsid w:val="1DBB1A07"/>
    <w:rsid w:val="1DCC6CC2"/>
    <w:rsid w:val="218F6CFD"/>
    <w:rsid w:val="27BE1B7A"/>
    <w:rsid w:val="2B5A7F10"/>
    <w:rsid w:val="34642714"/>
    <w:rsid w:val="3AC21281"/>
    <w:rsid w:val="3B446908"/>
    <w:rsid w:val="42E53B2D"/>
    <w:rsid w:val="46675766"/>
    <w:rsid w:val="49486C82"/>
    <w:rsid w:val="50EB030A"/>
    <w:rsid w:val="51B02AEC"/>
    <w:rsid w:val="57AC63B3"/>
    <w:rsid w:val="57E45AFC"/>
    <w:rsid w:val="58C57A48"/>
    <w:rsid w:val="600B07B2"/>
    <w:rsid w:val="60F04681"/>
    <w:rsid w:val="67EB631D"/>
    <w:rsid w:val="6ACB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pacing w:val="6"/>
      <w:kern w:val="2"/>
      <w:sz w:val="30"/>
      <w:szCs w:val="3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next w:val="1"/>
    <w:qFormat/>
    <w:uiPriority w:val="0"/>
    <w:pPr>
      <w:ind w:firstLine="420" w:firstLineChars="200"/>
    </w:pPr>
    <w:rPr>
      <w:rFonts w:ascii="Calibri" w:hAnsi="Calibri" w:cs="黑体"/>
      <w:szCs w:val="24"/>
    </w:rPr>
  </w:style>
  <w:style w:type="paragraph" w:customStyle="1" w:styleId="3">
    <w:name w:val="UserStyle_1"/>
    <w:basedOn w:val="1"/>
    <w:qFormat/>
    <w:uiPriority w:val="99"/>
    <w:pPr>
      <w:spacing w:after="120"/>
    </w:pPr>
    <w:rPr>
      <w:sz w:val="32"/>
    </w:rPr>
  </w:style>
  <w:style w:type="paragraph" w:styleId="4">
    <w:name w:val="Body Text"/>
    <w:basedOn w:val="1"/>
    <w:uiPriority w:val="0"/>
    <w:pPr>
      <w:spacing w:after="120"/>
    </w:pPr>
    <w:rPr>
      <w:rFonts w:hint="eastAsia"/>
      <w:color w:val="000000"/>
      <w:kern w:val="0"/>
      <w:sz w:val="32"/>
      <w:szCs w:val="21"/>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customStyle="1" w:styleId="10">
    <w:name w:val="页脚 Char"/>
    <w:basedOn w:val="8"/>
    <w:link w:val="5"/>
    <w:uiPriority w:val="0"/>
    <w:rPr>
      <w:rFonts w:hint="eastAsia" w:ascii="宋体" w:hAnsi="宋体" w:eastAsia="仿宋_GB2312" w:cs="宋体"/>
      <w:color w:val="000000"/>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924</Words>
  <Characters>5268</Characters>
  <Lines>43</Lines>
  <Paragraphs>12</Paragraphs>
  <TotalTime>106</TotalTime>
  <ScaleCrop>false</ScaleCrop>
  <LinksUpToDate>false</LinksUpToDate>
  <CharactersWithSpaces>6180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2021-09-01T02:56:00Z</dcterms:created>
  <dc:creator>Administrator</dc:creator>
  <cp:lastModifiedBy>倩风</cp:lastModifiedBy>
  <cp:lastPrinted>2021-08-31T09:28:00Z</cp:lastPrinted>
  <dcterms:modified xsi:type="dcterms:W3CDTF">2022-08-11T01:48:14Z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7B44CBFF2B774718B18CC2CB3FBA5E85</vt:lpwstr>
  </property>
</Properties>
</file>